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33" w:type="dxa"/>
        <w:jc w:val="center"/>
        <w:tblBorders>
          <w:insideH w:val="single" w:sz="4" w:space="0" w:color="auto"/>
          <w:insideV w:val="single" w:sz="4" w:space="0" w:color="auto"/>
        </w:tblBorders>
        <w:tblLayout w:type="fixed"/>
        <w:tblLook w:val="0000" w:firstRow="0" w:lastRow="0" w:firstColumn="0" w:lastColumn="0" w:noHBand="0" w:noVBand="0"/>
      </w:tblPr>
      <w:tblGrid>
        <w:gridCol w:w="1530"/>
        <w:gridCol w:w="9603"/>
      </w:tblGrid>
      <w:tr w:rsidR="007C321B" w:rsidRPr="00D92326" w14:paraId="29D9B697" w14:textId="77777777" w:rsidTr="007243BF">
        <w:trPr>
          <w:cantSplit/>
          <w:trHeight w:val="900"/>
          <w:jc w:val="center"/>
        </w:trPr>
        <w:tc>
          <w:tcPr>
            <w:tcW w:w="1530" w:type="dxa"/>
            <w:tcBorders>
              <w:top w:val="nil"/>
              <w:bottom w:val="nil"/>
              <w:right w:val="single" w:sz="4" w:space="0" w:color="auto"/>
            </w:tcBorders>
            <w:vAlign w:val="center"/>
          </w:tcPr>
          <w:p w14:paraId="4DF63A71" w14:textId="77777777" w:rsidR="007C321B" w:rsidRPr="00D92326" w:rsidRDefault="00681239" w:rsidP="007243BF">
            <w:pPr>
              <w:spacing w:after="0" w:line="240" w:lineRule="auto"/>
              <w:ind w:left="-738"/>
              <w:jc w:val="both"/>
              <w:rPr>
                <w:rFonts w:ascii="Times New Roman" w:hAnsi="Times New Roman"/>
                <w:color w:val="000000"/>
                <w:sz w:val="20"/>
              </w:rPr>
            </w:pPr>
            <w:r>
              <w:rPr>
                <w:rFonts w:ascii="Times New Roman" w:hAnsi="Times New Roman"/>
                <w:noProof/>
                <w:color w:val="000000"/>
                <w:sz w:val="20"/>
              </w:rPr>
              <w:object w:dxaOrig="1440" w:dyaOrig="1440" w14:anchorId="78848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pt;margin-top:1.6pt;width:57.9pt;height:50.65pt;z-index:251662336;mso-wrap-edited:f" wrapcoords="-348 -173 -348 21600 21774 21600 21774 -173 -348 -173" filled="t" stroked="t" strokecolor="white">
                  <v:imagedata r:id="rId5" o:title=""/>
                </v:shape>
                <o:OLEObject Type="Embed" ProgID="PBrush" ShapeID="_x0000_s1026" DrawAspect="Content" ObjectID="_1597843202" r:id="rId6"/>
              </w:object>
            </w:r>
          </w:p>
        </w:tc>
        <w:tc>
          <w:tcPr>
            <w:tcW w:w="9603" w:type="dxa"/>
            <w:tcBorders>
              <w:top w:val="nil"/>
              <w:left w:val="single" w:sz="4" w:space="0" w:color="auto"/>
              <w:bottom w:val="single" w:sz="4" w:space="0" w:color="auto"/>
            </w:tcBorders>
          </w:tcPr>
          <w:p w14:paraId="7A2CDC9C" w14:textId="77777777" w:rsidR="007C321B" w:rsidRPr="00D92326" w:rsidRDefault="007C321B" w:rsidP="007243BF">
            <w:pPr>
              <w:pStyle w:val="Title"/>
              <w:jc w:val="both"/>
              <w:rPr>
                <w:color w:val="000000"/>
                <w:sz w:val="28"/>
                <w:szCs w:val="28"/>
              </w:rPr>
            </w:pPr>
            <w:r w:rsidRPr="00D92326">
              <w:rPr>
                <w:color w:val="000000"/>
                <w:sz w:val="28"/>
                <w:szCs w:val="28"/>
              </w:rPr>
              <w:t>DEPARTMENT OF MANAGEMENT STUDIES</w:t>
            </w:r>
          </w:p>
          <w:p w14:paraId="26184B87" w14:textId="77777777" w:rsidR="007C321B" w:rsidRPr="00D92326" w:rsidRDefault="007C321B" w:rsidP="007243BF">
            <w:pPr>
              <w:pStyle w:val="Title"/>
              <w:ind w:right="-86"/>
              <w:jc w:val="both"/>
              <w:rPr>
                <w:color w:val="000000"/>
                <w:sz w:val="36"/>
              </w:rPr>
            </w:pPr>
            <w:r w:rsidRPr="00D92326">
              <w:rPr>
                <w:color w:val="000000"/>
                <w:sz w:val="38"/>
              </w:rPr>
              <w:t>NATIONAL INSTITUTE OF TECHNOLOGY</w:t>
            </w:r>
          </w:p>
          <w:p w14:paraId="0D164174" w14:textId="77777777" w:rsidR="007C321B" w:rsidRPr="00D92326" w:rsidRDefault="007C321B" w:rsidP="007243BF">
            <w:pPr>
              <w:pStyle w:val="Title"/>
              <w:ind w:right="-90"/>
              <w:jc w:val="both"/>
              <w:rPr>
                <w:color w:val="000000"/>
                <w:sz w:val="16"/>
              </w:rPr>
            </w:pPr>
            <w:r w:rsidRPr="00D92326">
              <w:rPr>
                <w:color w:val="000000"/>
                <w:sz w:val="28"/>
                <w:szCs w:val="28"/>
              </w:rPr>
              <w:t>TIRUCHIRAPPALLI - 620 015</w:t>
            </w:r>
            <w:r w:rsidRPr="00D92326">
              <w:rPr>
                <w:color w:val="000000"/>
                <w:sz w:val="26"/>
              </w:rPr>
              <w:t xml:space="preserve">, </w:t>
            </w:r>
            <w:r w:rsidRPr="00D92326">
              <w:rPr>
                <w:caps/>
                <w:color w:val="000000"/>
                <w:sz w:val="28"/>
                <w:szCs w:val="28"/>
              </w:rPr>
              <w:t>TAMIL Nadu, India</w:t>
            </w:r>
          </w:p>
        </w:tc>
      </w:tr>
      <w:tr w:rsidR="007C321B" w:rsidRPr="00D92326" w14:paraId="09FFC370" w14:textId="77777777" w:rsidTr="007243BF">
        <w:trPr>
          <w:cantSplit/>
          <w:trHeight w:val="275"/>
          <w:jc w:val="center"/>
        </w:trPr>
        <w:tc>
          <w:tcPr>
            <w:tcW w:w="1530" w:type="dxa"/>
            <w:tcBorders>
              <w:top w:val="nil"/>
              <w:bottom w:val="nil"/>
              <w:right w:val="single" w:sz="4" w:space="0" w:color="auto"/>
            </w:tcBorders>
            <w:vAlign w:val="center"/>
          </w:tcPr>
          <w:p w14:paraId="203E8238" w14:textId="77777777" w:rsidR="007C321B" w:rsidRPr="00D92326" w:rsidRDefault="007C321B" w:rsidP="007243BF">
            <w:pPr>
              <w:spacing w:after="0" w:line="240" w:lineRule="auto"/>
              <w:jc w:val="both"/>
              <w:rPr>
                <w:rFonts w:ascii="Times New Roman" w:hAnsi="Times New Roman"/>
                <w:noProof/>
                <w:color w:val="000000"/>
                <w:sz w:val="20"/>
              </w:rPr>
            </w:pPr>
          </w:p>
        </w:tc>
        <w:tc>
          <w:tcPr>
            <w:tcW w:w="9603" w:type="dxa"/>
            <w:tcBorders>
              <w:top w:val="single" w:sz="4" w:space="0" w:color="auto"/>
              <w:left w:val="single" w:sz="4" w:space="0" w:color="auto"/>
              <w:bottom w:val="nil"/>
            </w:tcBorders>
            <w:vAlign w:val="center"/>
          </w:tcPr>
          <w:p w14:paraId="19165D23" w14:textId="77777777" w:rsidR="007C321B" w:rsidRPr="00D92326" w:rsidRDefault="007C321B" w:rsidP="007243BF">
            <w:pPr>
              <w:tabs>
                <w:tab w:val="left" w:pos="792"/>
                <w:tab w:val="right" w:pos="2142"/>
              </w:tabs>
              <w:spacing w:after="0" w:line="240" w:lineRule="auto"/>
              <w:ind w:right="-108"/>
              <w:jc w:val="both"/>
              <w:rPr>
                <w:rFonts w:ascii="Times New Roman" w:hAnsi="Times New Roman"/>
                <w:color w:val="000000"/>
                <w:sz w:val="12"/>
              </w:rPr>
            </w:pPr>
            <w:r w:rsidRPr="00D92326">
              <w:rPr>
                <w:rFonts w:ascii="Times New Roman" w:hAnsi="Times New Roman"/>
                <w:color w:val="000000"/>
                <w:sz w:val="16"/>
              </w:rPr>
              <w:t>Phone : +91-431-2503700 (O) , +91-431-2503711 (Direct), Fax : +91-431-2500133 (O/o the Director), E-Mail : psridevi@nitt.edu</w:t>
            </w:r>
          </w:p>
        </w:tc>
      </w:tr>
    </w:tbl>
    <w:p w14:paraId="33F94A3F" w14:textId="77777777" w:rsidR="007C321B" w:rsidRPr="00D92326" w:rsidRDefault="007C321B" w:rsidP="007C321B">
      <w:pPr>
        <w:spacing w:after="0" w:line="240" w:lineRule="auto"/>
        <w:ind w:left="-274" w:right="-274"/>
        <w:jc w:val="both"/>
        <w:rPr>
          <w:rFonts w:ascii="Times New Roman" w:hAnsi="Times New Roman"/>
          <w:b/>
          <w:bCs/>
          <w:sz w:val="24"/>
          <w:szCs w:val="24"/>
        </w:rPr>
      </w:pPr>
      <w:r w:rsidRPr="00D92326">
        <w:rPr>
          <w:rFonts w:ascii="Times New Roman" w:hAnsi="Times New Roman"/>
          <w:b/>
          <w:bCs/>
          <w:noProof/>
          <w:color w:val="000000"/>
          <w:sz w:val="10"/>
        </w:rPr>
        <mc:AlternateContent>
          <mc:Choice Requires="wps">
            <w:drawing>
              <wp:anchor distT="4294967295" distB="4294967295" distL="114300" distR="114300" simplePos="0" relativeHeight="251661312" behindDoc="0" locked="0" layoutInCell="1" allowOverlap="1" wp14:anchorId="0F415562" wp14:editId="58755A41">
                <wp:simplePos x="0" y="0"/>
                <wp:positionH relativeFrom="column">
                  <wp:posOffset>-311785</wp:posOffset>
                </wp:positionH>
                <wp:positionV relativeFrom="paragraph">
                  <wp:posOffset>29209</wp:posOffset>
                </wp:positionV>
                <wp:extent cx="7296150" cy="0"/>
                <wp:effectExtent l="0" t="0" r="1905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31CDC0" id="_x0000_t32" coordsize="21600,21600" o:spt="32" o:oned="t" path="m,l21600,21600e" filled="f">
                <v:path arrowok="t" fillok="f" o:connecttype="none"/>
                <o:lock v:ext="edit" shapetype="t"/>
              </v:shapetype>
              <v:shape id="AutoShape 7" o:spid="_x0000_s1026" type="#_x0000_t32" style="position:absolute;margin-left:-24.55pt;margin-top:2.3pt;width:57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lL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" strokeweight="2pt"/>
            </w:pict>
          </mc:Fallback>
        </mc:AlternateContent>
      </w:r>
    </w:p>
    <w:p w14:paraId="7DA23351" w14:textId="77777777" w:rsidR="007C321B" w:rsidRPr="00D92326" w:rsidRDefault="007C321B" w:rsidP="007C321B">
      <w:pPr>
        <w:jc w:val="center"/>
        <w:rPr>
          <w:rFonts w:ascii="Times New Roman" w:hAnsi="Times New Roman"/>
          <w:b/>
          <w:sz w:val="2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2289"/>
        <w:gridCol w:w="1559"/>
        <w:gridCol w:w="45"/>
        <w:gridCol w:w="148"/>
        <w:gridCol w:w="2217"/>
      </w:tblGrid>
      <w:tr w:rsidR="007C321B" w:rsidRPr="00D92326" w14:paraId="1E296372" w14:textId="77777777" w:rsidTr="00D92326">
        <w:tc>
          <w:tcPr>
            <w:tcW w:w="9640" w:type="dxa"/>
            <w:gridSpan w:val="6"/>
            <w:shd w:val="clear" w:color="auto" w:fill="BFBFBF"/>
          </w:tcPr>
          <w:p w14:paraId="5297A1DC" w14:textId="77777777" w:rsidR="007C321B" w:rsidRPr="00D92326" w:rsidRDefault="007C321B" w:rsidP="007243BF">
            <w:pPr>
              <w:spacing w:after="0" w:line="240" w:lineRule="auto"/>
              <w:jc w:val="center"/>
              <w:rPr>
                <w:rFonts w:ascii="Times New Roman" w:hAnsi="Times New Roman"/>
                <w:b/>
              </w:rPr>
            </w:pPr>
            <w:r w:rsidRPr="00D92326">
              <w:rPr>
                <w:rFonts w:ascii="Times New Roman" w:hAnsi="Times New Roman"/>
                <w:b/>
              </w:rPr>
              <w:t>COURSE PLAN – PART I</w:t>
            </w:r>
          </w:p>
        </w:tc>
      </w:tr>
      <w:tr w:rsidR="007C321B" w:rsidRPr="00D92326" w14:paraId="4F83955F" w14:textId="77777777" w:rsidTr="00D92326">
        <w:trPr>
          <w:trHeight w:val="440"/>
        </w:trPr>
        <w:tc>
          <w:tcPr>
            <w:tcW w:w="3382" w:type="dxa"/>
            <w:vAlign w:val="center"/>
          </w:tcPr>
          <w:p w14:paraId="34D8BCD2"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Course Title</w:t>
            </w:r>
          </w:p>
        </w:tc>
        <w:tc>
          <w:tcPr>
            <w:tcW w:w="6258" w:type="dxa"/>
            <w:gridSpan w:val="5"/>
            <w:vAlign w:val="center"/>
          </w:tcPr>
          <w:p w14:paraId="79D084CD" w14:textId="29C03AF8" w:rsidR="007C321B" w:rsidRPr="00D92326" w:rsidRDefault="00DE28B8" w:rsidP="007243BF">
            <w:pPr>
              <w:spacing w:after="0" w:line="240" w:lineRule="auto"/>
              <w:rPr>
                <w:rFonts w:ascii="Times New Roman" w:hAnsi="Times New Roman"/>
                <w:b/>
              </w:rPr>
            </w:pPr>
            <w:r w:rsidRPr="00D92326">
              <w:rPr>
                <w:rFonts w:ascii="Times New Roman" w:hAnsi="Times New Roman"/>
                <w:b/>
                <w:sz w:val="24"/>
                <w:szCs w:val="24"/>
              </w:rPr>
              <w:t>ADVANCED CORPORATE FINANCE</w:t>
            </w:r>
          </w:p>
        </w:tc>
      </w:tr>
      <w:tr w:rsidR="007C321B" w:rsidRPr="00D92326" w14:paraId="036C9544" w14:textId="77777777" w:rsidTr="00D92326">
        <w:trPr>
          <w:trHeight w:val="440"/>
        </w:trPr>
        <w:tc>
          <w:tcPr>
            <w:tcW w:w="3382" w:type="dxa"/>
            <w:vAlign w:val="center"/>
          </w:tcPr>
          <w:p w14:paraId="060642BE"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Course Code</w:t>
            </w:r>
          </w:p>
        </w:tc>
        <w:tc>
          <w:tcPr>
            <w:tcW w:w="2289" w:type="dxa"/>
            <w:vAlign w:val="center"/>
          </w:tcPr>
          <w:p w14:paraId="393B35B6" w14:textId="6184A3E2" w:rsidR="007C321B" w:rsidRPr="00D92326" w:rsidRDefault="00DE28B8" w:rsidP="007243BF">
            <w:pPr>
              <w:snapToGrid w:val="0"/>
              <w:spacing w:before="78"/>
              <w:ind w:left="102"/>
              <w:rPr>
                <w:rFonts w:ascii="Times New Roman" w:hAnsi="Times New Roman"/>
                <w:b/>
              </w:rPr>
            </w:pPr>
            <w:r w:rsidRPr="00D92326">
              <w:rPr>
                <w:rStyle w:val="highlight"/>
                <w:rFonts w:ascii="Times New Roman" w:hAnsi="Times New Roman"/>
                <w:b/>
                <w:sz w:val="24"/>
                <w:szCs w:val="24"/>
              </w:rPr>
              <w:t>MB 762</w:t>
            </w:r>
          </w:p>
        </w:tc>
        <w:tc>
          <w:tcPr>
            <w:tcW w:w="1604" w:type="dxa"/>
            <w:gridSpan w:val="2"/>
            <w:vAlign w:val="center"/>
          </w:tcPr>
          <w:p w14:paraId="2F8853EC"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No. of Credits</w:t>
            </w:r>
          </w:p>
        </w:tc>
        <w:tc>
          <w:tcPr>
            <w:tcW w:w="2365" w:type="dxa"/>
            <w:gridSpan w:val="2"/>
            <w:vAlign w:val="center"/>
          </w:tcPr>
          <w:p w14:paraId="1C083F2E"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2</w:t>
            </w:r>
          </w:p>
        </w:tc>
      </w:tr>
      <w:tr w:rsidR="007C321B" w:rsidRPr="00D92326" w14:paraId="772A9DC5" w14:textId="77777777" w:rsidTr="00D92326">
        <w:trPr>
          <w:trHeight w:val="574"/>
        </w:trPr>
        <w:tc>
          <w:tcPr>
            <w:tcW w:w="3382" w:type="dxa"/>
            <w:vAlign w:val="center"/>
          </w:tcPr>
          <w:p w14:paraId="77A7051A"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Course Code of Pre-requisite subject(s)</w:t>
            </w:r>
          </w:p>
        </w:tc>
        <w:tc>
          <w:tcPr>
            <w:tcW w:w="2289" w:type="dxa"/>
            <w:vAlign w:val="center"/>
          </w:tcPr>
          <w:p w14:paraId="5D7BA783"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NIL</w:t>
            </w:r>
          </w:p>
        </w:tc>
        <w:tc>
          <w:tcPr>
            <w:tcW w:w="1604" w:type="dxa"/>
            <w:gridSpan w:val="2"/>
            <w:vAlign w:val="center"/>
          </w:tcPr>
          <w:p w14:paraId="6BD62A2C" w14:textId="77777777" w:rsidR="007C321B" w:rsidRPr="00D92326" w:rsidRDefault="007C321B" w:rsidP="007243BF">
            <w:pPr>
              <w:spacing w:after="0" w:line="240" w:lineRule="auto"/>
              <w:rPr>
                <w:rFonts w:ascii="Times New Roman" w:hAnsi="Times New Roman"/>
                <w:b/>
              </w:rPr>
            </w:pPr>
          </w:p>
        </w:tc>
        <w:tc>
          <w:tcPr>
            <w:tcW w:w="2365" w:type="dxa"/>
            <w:gridSpan w:val="2"/>
            <w:vAlign w:val="center"/>
          </w:tcPr>
          <w:p w14:paraId="121CD52B" w14:textId="77777777" w:rsidR="007C321B" w:rsidRPr="00D92326" w:rsidRDefault="007C321B" w:rsidP="007243BF">
            <w:pPr>
              <w:spacing w:after="0" w:line="240" w:lineRule="auto"/>
              <w:jc w:val="center"/>
              <w:rPr>
                <w:rFonts w:ascii="Times New Roman" w:hAnsi="Times New Roman"/>
                <w:b/>
              </w:rPr>
            </w:pPr>
          </w:p>
        </w:tc>
      </w:tr>
      <w:tr w:rsidR="007C321B" w:rsidRPr="00D92326" w14:paraId="4A572404" w14:textId="77777777" w:rsidTr="00D92326">
        <w:trPr>
          <w:trHeight w:val="440"/>
        </w:trPr>
        <w:tc>
          <w:tcPr>
            <w:tcW w:w="3382" w:type="dxa"/>
            <w:vAlign w:val="center"/>
          </w:tcPr>
          <w:p w14:paraId="38F395E3"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Session</w:t>
            </w:r>
          </w:p>
        </w:tc>
        <w:tc>
          <w:tcPr>
            <w:tcW w:w="2289" w:type="dxa"/>
            <w:vAlign w:val="center"/>
          </w:tcPr>
          <w:p w14:paraId="73CA0119"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JULY- OCT 2018</w:t>
            </w:r>
          </w:p>
        </w:tc>
        <w:tc>
          <w:tcPr>
            <w:tcW w:w="1604" w:type="dxa"/>
            <w:gridSpan w:val="2"/>
            <w:vAlign w:val="center"/>
          </w:tcPr>
          <w:p w14:paraId="279921E8"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 xml:space="preserve">Section </w:t>
            </w:r>
          </w:p>
          <w:p w14:paraId="38B684A4" w14:textId="77777777" w:rsidR="007C321B" w:rsidRPr="00D92326" w:rsidRDefault="007C321B" w:rsidP="007243BF">
            <w:pPr>
              <w:spacing w:after="0" w:line="240" w:lineRule="auto"/>
              <w:rPr>
                <w:rFonts w:ascii="Times New Roman" w:hAnsi="Times New Roman"/>
                <w:b/>
              </w:rPr>
            </w:pPr>
          </w:p>
        </w:tc>
        <w:tc>
          <w:tcPr>
            <w:tcW w:w="2365" w:type="dxa"/>
            <w:gridSpan w:val="2"/>
            <w:vAlign w:val="center"/>
          </w:tcPr>
          <w:p w14:paraId="4D0B6CBB" w14:textId="77777777" w:rsidR="007C321B" w:rsidRPr="00D92326" w:rsidRDefault="007C321B" w:rsidP="007243BF">
            <w:pPr>
              <w:spacing w:after="0" w:line="240" w:lineRule="auto"/>
              <w:jc w:val="center"/>
              <w:rPr>
                <w:rFonts w:ascii="Times New Roman" w:hAnsi="Times New Roman"/>
                <w:b/>
              </w:rPr>
            </w:pPr>
          </w:p>
        </w:tc>
      </w:tr>
      <w:tr w:rsidR="007C321B" w:rsidRPr="00D92326" w14:paraId="2A3DE33A" w14:textId="77777777" w:rsidTr="00D92326">
        <w:tc>
          <w:tcPr>
            <w:tcW w:w="3382" w:type="dxa"/>
            <w:vAlign w:val="center"/>
          </w:tcPr>
          <w:p w14:paraId="0C0D7E61"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Name of Faculty</w:t>
            </w:r>
          </w:p>
        </w:tc>
        <w:tc>
          <w:tcPr>
            <w:tcW w:w="2289" w:type="dxa"/>
            <w:vAlign w:val="center"/>
          </w:tcPr>
          <w:p w14:paraId="7CB6094E" w14:textId="77777777" w:rsidR="007C321B" w:rsidRPr="00D92326" w:rsidRDefault="007C321B" w:rsidP="007243BF">
            <w:pPr>
              <w:spacing w:after="0" w:line="240" w:lineRule="auto"/>
              <w:rPr>
                <w:rFonts w:ascii="Times New Roman" w:hAnsi="Times New Roman"/>
                <w:b/>
              </w:rPr>
            </w:pPr>
          </w:p>
          <w:p w14:paraId="6E8FECC5" w14:textId="6C746789" w:rsidR="007C321B" w:rsidRPr="00D92326" w:rsidRDefault="007C321B" w:rsidP="007243BF">
            <w:pPr>
              <w:spacing w:after="0" w:line="240" w:lineRule="auto"/>
              <w:rPr>
                <w:rFonts w:ascii="Times New Roman" w:hAnsi="Times New Roman"/>
                <w:b/>
              </w:rPr>
            </w:pPr>
            <w:r w:rsidRPr="00D92326">
              <w:rPr>
                <w:rFonts w:ascii="Times New Roman" w:hAnsi="Times New Roman"/>
                <w:b/>
                <w:spacing w:val="1"/>
                <w:sz w:val="24"/>
                <w:szCs w:val="24"/>
              </w:rPr>
              <w:t xml:space="preserve">Dr. </w:t>
            </w:r>
            <w:r w:rsidR="00DE28B8" w:rsidRPr="00D92326">
              <w:rPr>
                <w:rFonts w:ascii="Times New Roman" w:hAnsi="Times New Roman"/>
                <w:b/>
                <w:spacing w:val="1"/>
                <w:sz w:val="24"/>
                <w:szCs w:val="24"/>
              </w:rPr>
              <w:t>B Senthil Arasu</w:t>
            </w:r>
          </w:p>
        </w:tc>
        <w:tc>
          <w:tcPr>
            <w:tcW w:w="1604" w:type="dxa"/>
            <w:gridSpan w:val="2"/>
            <w:vAlign w:val="center"/>
          </w:tcPr>
          <w:p w14:paraId="227B3016"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Department</w:t>
            </w:r>
          </w:p>
        </w:tc>
        <w:tc>
          <w:tcPr>
            <w:tcW w:w="2365" w:type="dxa"/>
            <w:gridSpan w:val="2"/>
            <w:vAlign w:val="center"/>
          </w:tcPr>
          <w:p w14:paraId="6AF092D5"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MBA</w:t>
            </w:r>
          </w:p>
        </w:tc>
      </w:tr>
      <w:tr w:rsidR="007C321B" w:rsidRPr="00D92326" w14:paraId="7CBB629A" w14:textId="77777777" w:rsidTr="00D92326">
        <w:trPr>
          <w:trHeight w:val="656"/>
        </w:trPr>
        <w:tc>
          <w:tcPr>
            <w:tcW w:w="3382" w:type="dxa"/>
            <w:vAlign w:val="center"/>
          </w:tcPr>
          <w:p w14:paraId="2342E6A3"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 xml:space="preserve">Email </w:t>
            </w:r>
          </w:p>
        </w:tc>
        <w:tc>
          <w:tcPr>
            <w:tcW w:w="2289" w:type="dxa"/>
            <w:vAlign w:val="center"/>
          </w:tcPr>
          <w:p w14:paraId="5896C864" w14:textId="36106738" w:rsidR="007C321B" w:rsidRPr="00D92326" w:rsidRDefault="00D73F2D" w:rsidP="007243BF">
            <w:pPr>
              <w:spacing w:after="0" w:line="240" w:lineRule="auto"/>
              <w:rPr>
                <w:rFonts w:ascii="Times New Roman" w:hAnsi="Times New Roman"/>
                <w:b/>
              </w:rPr>
            </w:pPr>
            <w:r w:rsidRPr="00D92326">
              <w:rPr>
                <w:rFonts w:ascii="Times New Roman" w:hAnsi="Times New Roman"/>
                <w:b/>
              </w:rPr>
              <w:t>arasu@nitt.edu</w:t>
            </w:r>
          </w:p>
        </w:tc>
        <w:tc>
          <w:tcPr>
            <w:tcW w:w="1559" w:type="dxa"/>
            <w:vAlign w:val="center"/>
          </w:tcPr>
          <w:p w14:paraId="2B92819E"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Telephone No.</w:t>
            </w:r>
          </w:p>
        </w:tc>
        <w:tc>
          <w:tcPr>
            <w:tcW w:w="2410" w:type="dxa"/>
            <w:gridSpan w:val="3"/>
            <w:vAlign w:val="center"/>
          </w:tcPr>
          <w:p w14:paraId="2E834358" w14:textId="543DDCD2" w:rsidR="007C321B" w:rsidRPr="00D92326" w:rsidRDefault="007C321B" w:rsidP="007243BF">
            <w:pPr>
              <w:spacing w:after="0" w:line="240" w:lineRule="auto"/>
              <w:rPr>
                <w:rFonts w:ascii="Times New Roman" w:hAnsi="Times New Roman"/>
                <w:b/>
              </w:rPr>
            </w:pPr>
            <w:r w:rsidRPr="00D92326">
              <w:rPr>
                <w:rFonts w:ascii="Times New Roman" w:hAnsi="Times New Roman"/>
                <w:b/>
              </w:rPr>
              <w:t>041-25037</w:t>
            </w:r>
            <w:r w:rsidR="00D73F2D" w:rsidRPr="00D92326">
              <w:rPr>
                <w:rFonts w:ascii="Times New Roman" w:hAnsi="Times New Roman"/>
                <w:b/>
              </w:rPr>
              <w:t>08</w:t>
            </w:r>
          </w:p>
        </w:tc>
      </w:tr>
      <w:tr w:rsidR="007C321B" w:rsidRPr="00D92326" w14:paraId="77421C3F" w14:textId="77777777" w:rsidTr="00D92326">
        <w:trPr>
          <w:trHeight w:val="629"/>
        </w:trPr>
        <w:tc>
          <w:tcPr>
            <w:tcW w:w="3382" w:type="dxa"/>
            <w:vAlign w:val="center"/>
          </w:tcPr>
          <w:p w14:paraId="3BC2B3C5"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Name of Course Coordinator(s) (if,  applicable)</w:t>
            </w:r>
          </w:p>
        </w:tc>
        <w:tc>
          <w:tcPr>
            <w:tcW w:w="6258" w:type="dxa"/>
            <w:gridSpan w:val="5"/>
            <w:vAlign w:val="center"/>
          </w:tcPr>
          <w:p w14:paraId="37774FEE"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 xml:space="preserve">NIL  </w:t>
            </w:r>
          </w:p>
        </w:tc>
      </w:tr>
      <w:tr w:rsidR="007C321B" w:rsidRPr="00D92326" w14:paraId="74B3AA57" w14:textId="77777777" w:rsidTr="00D92326">
        <w:tc>
          <w:tcPr>
            <w:tcW w:w="3382" w:type="dxa"/>
            <w:vAlign w:val="center"/>
          </w:tcPr>
          <w:p w14:paraId="3E42A555"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 xml:space="preserve">E-mail </w:t>
            </w:r>
          </w:p>
        </w:tc>
        <w:tc>
          <w:tcPr>
            <w:tcW w:w="2289" w:type="dxa"/>
            <w:vAlign w:val="center"/>
          </w:tcPr>
          <w:p w14:paraId="1DCD7EE1" w14:textId="77777777" w:rsidR="007C321B" w:rsidRPr="00D92326" w:rsidRDefault="007C321B" w:rsidP="007243BF">
            <w:pPr>
              <w:spacing w:after="0" w:line="240" w:lineRule="auto"/>
              <w:rPr>
                <w:rFonts w:ascii="Times New Roman" w:hAnsi="Times New Roman"/>
                <w:b/>
              </w:rPr>
            </w:pPr>
          </w:p>
        </w:tc>
        <w:tc>
          <w:tcPr>
            <w:tcW w:w="1752" w:type="dxa"/>
            <w:gridSpan w:val="3"/>
            <w:vAlign w:val="center"/>
          </w:tcPr>
          <w:p w14:paraId="6F893EC6"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Telephone No.</w:t>
            </w:r>
          </w:p>
        </w:tc>
        <w:tc>
          <w:tcPr>
            <w:tcW w:w="2217" w:type="dxa"/>
            <w:vAlign w:val="center"/>
          </w:tcPr>
          <w:p w14:paraId="7F3A253E" w14:textId="77777777" w:rsidR="007C321B" w:rsidRPr="00D92326" w:rsidRDefault="007C321B" w:rsidP="007243BF">
            <w:pPr>
              <w:spacing w:after="0" w:line="240" w:lineRule="auto"/>
              <w:rPr>
                <w:rFonts w:ascii="Times New Roman" w:hAnsi="Times New Roman"/>
                <w:b/>
              </w:rPr>
            </w:pPr>
          </w:p>
        </w:tc>
      </w:tr>
      <w:tr w:rsidR="007C321B" w:rsidRPr="00D92326" w14:paraId="6BC7D0F3" w14:textId="77777777" w:rsidTr="00D92326">
        <w:trPr>
          <w:trHeight w:val="467"/>
        </w:trPr>
        <w:tc>
          <w:tcPr>
            <w:tcW w:w="3382" w:type="dxa"/>
            <w:vAlign w:val="center"/>
          </w:tcPr>
          <w:p w14:paraId="2B9ABE52" w14:textId="77777777" w:rsidR="007C321B" w:rsidRPr="00D92326" w:rsidRDefault="007C321B" w:rsidP="007243BF">
            <w:pPr>
              <w:spacing w:after="0" w:line="240" w:lineRule="auto"/>
              <w:rPr>
                <w:rFonts w:ascii="Times New Roman" w:hAnsi="Times New Roman"/>
                <w:b/>
              </w:rPr>
            </w:pPr>
            <w:r w:rsidRPr="00D92326">
              <w:rPr>
                <w:rFonts w:ascii="Times New Roman" w:hAnsi="Times New Roman"/>
                <w:b/>
              </w:rPr>
              <w:t>Course Type</w:t>
            </w:r>
          </w:p>
        </w:tc>
        <w:tc>
          <w:tcPr>
            <w:tcW w:w="6258" w:type="dxa"/>
            <w:gridSpan w:val="5"/>
            <w:vAlign w:val="center"/>
          </w:tcPr>
          <w:p w14:paraId="6A842D39" w14:textId="16E14311" w:rsidR="007C321B" w:rsidRPr="00D92326" w:rsidRDefault="00DE28B8" w:rsidP="007243BF">
            <w:pPr>
              <w:tabs>
                <w:tab w:val="left" w:pos="720"/>
                <w:tab w:val="left" w:pos="1440"/>
                <w:tab w:val="left" w:pos="2160"/>
                <w:tab w:val="left" w:pos="2715"/>
                <w:tab w:val="center" w:pos="3411"/>
              </w:tabs>
              <w:spacing w:after="0" w:line="240" w:lineRule="auto"/>
              <w:rPr>
                <w:rFonts w:ascii="Times New Roman" w:hAnsi="Times New Roman"/>
                <w:b/>
              </w:rPr>
            </w:pPr>
            <w:r w:rsidRPr="00D92326">
              <w:rPr>
                <w:rFonts w:ascii="Times New Roman" w:hAnsi="Times New Roman"/>
                <w:noProof/>
              </w:rPr>
              <mc:AlternateContent>
                <mc:Choice Requires="wps">
                  <w:drawing>
                    <wp:anchor distT="0" distB="0" distL="114300" distR="114300" simplePos="0" relativeHeight="251660288" behindDoc="0" locked="0" layoutInCell="1" allowOverlap="1" wp14:anchorId="0A5FEC03" wp14:editId="34956E96">
                      <wp:simplePos x="0" y="0"/>
                      <wp:positionH relativeFrom="column">
                        <wp:posOffset>1603375</wp:posOffset>
                      </wp:positionH>
                      <wp:positionV relativeFrom="paragraph">
                        <wp:posOffset>-13970</wp:posOffset>
                      </wp:positionV>
                      <wp:extent cx="278130" cy="290195"/>
                      <wp:effectExtent l="0" t="0" r="26670"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90195"/>
                              </a:xfrm>
                              <a:prstGeom prst="rect">
                                <a:avLst/>
                              </a:prstGeom>
                              <a:solidFill>
                                <a:srgbClr val="FFFFFF"/>
                              </a:solidFill>
                              <a:ln w="9525">
                                <a:solidFill>
                                  <a:srgbClr val="000000"/>
                                </a:solidFill>
                                <a:miter lim="800000"/>
                                <a:headEnd/>
                                <a:tailEnd/>
                              </a:ln>
                            </wps:spPr>
                            <wps:txbx>
                              <w:txbxContent>
                                <w:p w14:paraId="2195377F" w14:textId="4024492F" w:rsidR="00DE28B8" w:rsidRPr="00DE28B8" w:rsidRDefault="00DE28B8" w:rsidP="00DE28B8">
                                  <w:pPr>
                                    <w:jc w:val="center"/>
                                    <w:rPr>
                                      <w:sz w:val="32"/>
                                      <w:szCs w:val="32"/>
                                      <w:lang w:val="en-IN"/>
                                    </w:rPr>
                                  </w:pPr>
                                  <w:r w:rsidRPr="00DE28B8">
                                    <w:rPr>
                                      <w:sz w:val="32"/>
                                      <w:szCs w:val="32"/>
                                      <w:lang w:val="en-IN"/>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FEC03" id="Rectangle 10" o:spid="_x0000_s1026" style="position:absolute;margin-left:126.25pt;margin-top:-1.1pt;width:21.9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CmKQ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">
                      <v:textbox>
                        <w:txbxContent>
                          <w:p w14:paraId="2195377F" w14:textId="4024492F" w:rsidR="00DE28B8" w:rsidRPr="00DE28B8" w:rsidRDefault="00DE28B8" w:rsidP="00DE28B8">
                            <w:pPr>
                              <w:jc w:val="center"/>
                              <w:rPr>
                                <w:sz w:val="32"/>
                                <w:szCs w:val="32"/>
                                <w:lang w:val="en-IN"/>
                              </w:rPr>
                            </w:pPr>
                            <w:r w:rsidRPr="00DE28B8">
                              <w:rPr>
                                <w:sz w:val="32"/>
                                <w:szCs w:val="32"/>
                                <w:lang w:val="en-IN"/>
                              </w:rPr>
                              <w:t>v</w:t>
                            </w:r>
                          </w:p>
                        </w:txbxContent>
                      </v:textbox>
                    </v:rect>
                  </w:pict>
                </mc:Fallback>
              </mc:AlternateContent>
            </w:r>
            <w:r w:rsidR="007C321B" w:rsidRPr="00D92326">
              <w:rPr>
                <w:rFonts w:ascii="Times New Roman" w:hAnsi="Times New Roman"/>
                <w:noProof/>
              </w:rPr>
              <mc:AlternateContent>
                <mc:Choice Requires="wps">
                  <w:drawing>
                    <wp:anchor distT="0" distB="0" distL="114300" distR="114300" simplePos="0" relativeHeight="251659264" behindDoc="0" locked="0" layoutInCell="1" allowOverlap="1" wp14:anchorId="29145EA9" wp14:editId="2256967F">
                      <wp:simplePos x="0" y="0"/>
                      <wp:positionH relativeFrom="column">
                        <wp:posOffset>29845</wp:posOffset>
                      </wp:positionH>
                      <wp:positionV relativeFrom="paragraph">
                        <wp:posOffset>25400</wp:posOffset>
                      </wp:positionV>
                      <wp:extent cx="342900" cy="2476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txbx>
                              <w:txbxContent>
                                <w:p w14:paraId="53B0E05C" w14:textId="7A54C84D" w:rsidR="007C321B" w:rsidRPr="007844D8" w:rsidRDefault="007C321B" w:rsidP="007C321B">
                                  <w:pPr>
                                    <w:rPr>
                                      <w:b/>
                                      <w:sz w:val="20"/>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45EA9" id="Rectangle 8" o:spid="_x0000_s1027" style="position:absolute;margin-left:2.35pt;margin-top:2pt;width:2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">
                      <v:textbox>
                        <w:txbxContent>
                          <w:p w14:paraId="53B0E05C" w14:textId="7A54C84D" w:rsidR="007C321B" w:rsidRPr="007844D8" w:rsidRDefault="007C321B" w:rsidP="007C321B">
                            <w:pPr>
                              <w:rPr>
                                <w:b/>
                                <w:sz w:val="20"/>
                                <w:lang w:val="en-IN"/>
                              </w:rPr>
                            </w:pPr>
                          </w:p>
                        </w:txbxContent>
                      </v:textbox>
                    </v:rect>
                  </w:pict>
                </mc:Fallback>
              </mc:AlternateContent>
            </w:r>
            <w:r w:rsidR="007C321B" w:rsidRPr="00D92326">
              <w:rPr>
                <w:rFonts w:ascii="Times New Roman" w:hAnsi="Times New Roman"/>
                <w:b/>
              </w:rPr>
              <w:tab/>
              <w:t>Core course</w:t>
            </w:r>
            <w:r w:rsidR="007C321B" w:rsidRPr="00D92326">
              <w:rPr>
                <w:rFonts w:ascii="Times New Roman" w:hAnsi="Times New Roman"/>
                <w:b/>
              </w:rPr>
              <w:tab/>
            </w:r>
            <w:r w:rsidR="007C321B" w:rsidRPr="00D92326">
              <w:rPr>
                <w:rFonts w:ascii="Times New Roman" w:hAnsi="Times New Roman"/>
                <w:b/>
              </w:rPr>
              <w:tab/>
              <w:t xml:space="preserve">    </w:t>
            </w:r>
            <w:r w:rsidR="007C321B" w:rsidRPr="00D92326">
              <w:rPr>
                <w:rFonts w:ascii="Times New Roman" w:hAnsi="Times New Roman"/>
                <w:b/>
              </w:rPr>
              <w:tab/>
              <w:t xml:space="preserve">   Elective course </w:t>
            </w:r>
          </w:p>
        </w:tc>
      </w:tr>
      <w:tr w:rsidR="007C321B" w:rsidRPr="00D92326" w14:paraId="2549DD8E" w14:textId="77777777" w:rsidTr="00D92326">
        <w:trPr>
          <w:trHeight w:val="260"/>
        </w:trPr>
        <w:tc>
          <w:tcPr>
            <w:tcW w:w="9640" w:type="dxa"/>
            <w:gridSpan w:val="6"/>
            <w:shd w:val="clear" w:color="auto" w:fill="A6A6A6"/>
          </w:tcPr>
          <w:p w14:paraId="6BA7F409" w14:textId="529AC76B" w:rsidR="007C321B" w:rsidRPr="00D92326" w:rsidRDefault="007C321B" w:rsidP="007243BF">
            <w:pPr>
              <w:tabs>
                <w:tab w:val="left" w:pos="720"/>
                <w:tab w:val="left" w:pos="1440"/>
                <w:tab w:val="left" w:pos="2160"/>
                <w:tab w:val="left" w:pos="2715"/>
                <w:tab w:val="center" w:pos="3411"/>
              </w:tabs>
              <w:spacing w:after="0" w:line="240" w:lineRule="auto"/>
              <w:rPr>
                <w:rFonts w:ascii="Times New Roman" w:hAnsi="Times New Roman"/>
                <w:b/>
                <w:noProof/>
                <w:color w:val="A6A6A6"/>
              </w:rPr>
            </w:pPr>
          </w:p>
        </w:tc>
      </w:tr>
      <w:tr w:rsidR="007C321B" w:rsidRPr="00D92326" w14:paraId="362C9054" w14:textId="77777777" w:rsidTr="00D92326">
        <w:trPr>
          <w:trHeight w:val="260"/>
        </w:trPr>
        <w:tc>
          <w:tcPr>
            <w:tcW w:w="9640" w:type="dxa"/>
            <w:gridSpan w:val="6"/>
            <w:shd w:val="clear" w:color="auto" w:fill="FFFFFF"/>
            <w:vAlign w:val="center"/>
          </w:tcPr>
          <w:p w14:paraId="1DC553CD" w14:textId="77777777" w:rsidR="007C321B" w:rsidRPr="00D92326" w:rsidRDefault="007C321B" w:rsidP="007243BF">
            <w:pPr>
              <w:tabs>
                <w:tab w:val="left" w:pos="720"/>
                <w:tab w:val="left" w:pos="1440"/>
                <w:tab w:val="left" w:pos="2160"/>
                <w:tab w:val="left" w:pos="2715"/>
                <w:tab w:val="center" w:pos="3411"/>
              </w:tabs>
              <w:spacing w:after="0" w:line="240" w:lineRule="auto"/>
              <w:rPr>
                <w:rFonts w:ascii="Times New Roman" w:hAnsi="Times New Roman"/>
                <w:b/>
                <w:noProof/>
                <w:sz w:val="24"/>
              </w:rPr>
            </w:pPr>
            <w:r w:rsidRPr="00D92326">
              <w:rPr>
                <w:rFonts w:ascii="Times New Roman" w:hAnsi="Times New Roman"/>
                <w:b/>
                <w:noProof/>
                <w:sz w:val="24"/>
              </w:rPr>
              <w:t xml:space="preserve">SYLLABUS </w:t>
            </w:r>
          </w:p>
        </w:tc>
      </w:tr>
      <w:tr w:rsidR="007C321B" w:rsidRPr="00D92326" w14:paraId="02D97BAA" w14:textId="77777777" w:rsidTr="00D92326">
        <w:trPr>
          <w:trHeight w:val="260"/>
        </w:trPr>
        <w:tc>
          <w:tcPr>
            <w:tcW w:w="9640" w:type="dxa"/>
            <w:gridSpan w:val="6"/>
            <w:shd w:val="clear" w:color="auto" w:fill="FFFFFF"/>
          </w:tcPr>
          <w:p w14:paraId="025F84A7" w14:textId="77777777" w:rsidR="00D73F2D" w:rsidRPr="00D92326" w:rsidRDefault="00D73F2D"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p>
          <w:p w14:paraId="3A500A9C" w14:textId="6E670CB6"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r w:rsidRPr="00D92326">
              <w:rPr>
                <w:rFonts w:ascii="Times New Roman" w:hAnsi="Times New Roman"/>
                <w:b/>
                <w:sz w:val="24"/>
                <w:szCs w:val="24"/>
                <w:u w:val="single"/>
              </w:rPr>
              <w:t xml:space="preserve">Unit I </w:t>
            </w:r>
          </w:p>
          <w:p w14:paraId="71F467BB" w14:textId="7D49B23D" w:rsidR="007C441B" w:rsidRPr="00D92326" w:rsidRDefault="007C441B" w:rsidP="007243BF">
            <w:pPr>
              <w:tabs>
                <w:tab w:val="left" w:pos="720"/>
                <w:tab w:val="left" w:pos="1440"/>
                <w:tab w:val="left" w:pos="2160"/>
                <w:tab w:val="left" w:pos="2715"/>
                <w:tab w:val="center" w:pos="3411"/>
              </w:tabs>
              <w:spacing w:after="0"/>
              <w:jc w:val="both"/>
              <w:rPr>
                <w:rFonts w:ascii="Times New Roman" w:hAnsi="Times New Roman"/>
                <w:sz w:val="24"/>
                <w:szCs w:val="24"/>
              </w:rPr>
            </w:pPr>
            <w:r w:rsidRPr="00D92326">
              <w:rPr>
                <w:rFonts w:ascii="Times New Roman" w:hAnsi="Times New Roman"/>
                <w:sz w:val="24"/>
                <w:szCs w:val="24"/>
              </w:rPr>
              <w:t xml:space="preserve">Stochastic Models Stochastic Models for risk and uncertainties in Capital budgeting. </w:t>
            </w:r>
          </w:p>
          <w:p w14:paraId="0F47DC01" w14:textId="77777777" w:rsidR="00D73F2D" w:rsidRPr="00D92326" w:rsidRDefault="00D73F2D" w:rsidP="007243BF">
            <w:pPr>
              <w:tabs>
                <w:tab w:val="left" w:pos="720"/>
                <w:tab w:val="left" w:pos="1440"/>
                <w:tab w:val="left" w:pos="2160"/>
                <w:tab w:val="left" w:pos="2715"/>
                <w:tab w:val="center" w:pos="3411"/>
              </w:tabs>
              <w:spacing w:after="0"/>
              <w:jc w:val="both"/>
              <w:rPr>
                <w:rFonts w:ascii="Times New Roman" w:hAnsi="Times New Roman"/>
                <w:sz w:val="24"/>
                <w:szCs w:val="24"/>
              </w:rPr>
            </w:pPr>
          </w:p>
          <w:p w14:paraId="2B61FED2" w14:textId="77777777"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r w:rsidRPr="00D92326">
              <w:rPr>
                <w:rFonts w:ascii="Times New Roman" w:hAnsi="Times New Roman"/>
                <w:b/>
                <w:sz w:val="24"/>
                <w:szCs w:val="24"/>
                <w:u w:val="single"/>
              </w:rPr>
              <w:t xml:space="preserve">Unit II </w:t>
            </w:r>
          </w:p>
          <w:p w14:paraId="513D63ED" w14:textId="52CFBFFE" w:rsidR="007C441B" w:rsidRPr="00D92326" w:rsidRDefault="007C441B" w:rsidP="007243BF">
            <w:pPr>
              <w:tabs>
                <w:tab w:val="left" w:pos="720"/>
                <w:tab w:val="left" w:pos="1440"/>
                <w:tab w:val="left" w:pos="2160"/>
                <w:tab w:val="left" w:pos="2715"/>
                <w:tab w:val="center" w:pos="3411"/>
              </w:tabs>
              <w:spacing w:after="0"/>
              <w:jc w:val="both"/>
              <w:rPr>
                <w:rFonts w:ascii="Times New Roman" w:hAnsi="Times New Roman"/>
                <w:sz w:val="24"/>
                <w:szCs w:val="24"/>
              </w:rPr>
            </w:pPr>
            <w:r w:rsidRPr="00D92326">
              <w:rPr>
                <w:rFonts w:ascii="Times New Roman" w:hAnsi="Times New Roman"/>
                <w:sz w:val="24"/>
                <w:szCs w:val="24"/>
              </w:rPr>
              <w:t xml:space="preserve">Corporate Structure Capital Structure determination - Equity and Debt forms, EM Hypothesis </w:t>
            </w:r>
          </w:p>
          <w:p w14:paraId="070564DE" w14:textId="77777777" w:rsidR="00D73F2D" w:rsidRPr="00D92326" w:rsidRDefault="00D73F2D" w:rsidP="007243BF">
            <w:pPr>
              <w:tabs>
                <w:tab w:val="left" w:pos="720"/>
                <w:tab w:val="left" w:pos="1440"/>
                <w:tab w:val="left" w:pos="2160"/>
                <w:tab w:val="left" w:pos="2715"/>
                <w:tab w:val="center" w:pos="3411"/>
              </w:tabs>
              <w:spacing w:after="0"/>
              <w:jc w:val="both"/>
              <w:rPr>
                <w:rFonts w:ascii="Times New Roman" w:hAnsi="Times New Roman"/>
                <w:sz w:val="24"/>
                <w:szCs w:val="24"/>
              </w:rPr>
            </w:pPr>
          </w:p>
          <w:p w14:paraId="743370AE" w14:textId="77777777"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r w:rsidRPr="00D92326">
              <w:rPr>
                <w:rFonts w:ascii="Times New Roman" w:hAnsi="Times New Roman"/>
                <w:b/>
                <w:sz w:val="24"/>
                <w:szCs w:val="24"/>
                <w:u w:val="single"/>
              </w:rPr>
              <w:t xml:space="preserve">Unit III </w:t>
            </w:r>
          </w:p>
          <w:p w14:paraId="76993E77" w14:textId="74FB5A35"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sz w:val="24"/>
                <w:szCs w:val="24"/>
              </w:rPr>
            </w:pPr>
            <w:r w:rsidRPr="00D92326">
              <w:rPr>
                <w:rFonts w:ascii="Times New Roman" w:hAnsi="Times New Roman"/>
                <w:sz w:val="24"/>
                <w:szCs w:val="24"/>
              </w:rPr>
              <w:t xml:space="preserve">Corporate Financing Corporate financing and market efficiency </w:t>
            </w:r>
          </w:p>
          <w:p w14:paraId="69C0A0FB" w14:textId="77777777" w:rsidR="00D73F2D" w:rsidRPr="00D92326" w:rsidRDefault="00D73F2D" w:rsidP="007243BF">
            <w:pPr>
              <w:tabs>
                <w:tab w:val="left" w:pos="720"/>
                <w:tab w:val="left" w:pos="1440"/>
                <w:tab w:val="left" w:pos="2160"/>
                <w:tab w:val="left" w:pos="2715"/>
                <w:tab w:val="center" w:pos="3411"/>
              </w:tabs>
              <w:spacing w:after="0"/>
              <w:jc w:val="both"/>
              <w:rPr>
                <w:rFonts w:ascii="Times New Roman" w:hAnsi="Times New Roman"/>
                <w:sz w:val="24"/>
                <w:szCs w:val="24"/>
              </w:rPr>
            </w:pPr>
          </w:p>
          <w:p w14:paraId="0B618930" w14:textId="77777777"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r w:rsidRPr="00D92326">
              <w:rPr>
                <w:rFonts w:ascii="Times New Roman" w:hAnsi="Times New Roman"/>
                <w:b/>
                <w:sz w:val="24"/>
                <w:szCs w:val="24"/>
                <w:u w:val="single"/>
              </w:rPr>
              <w:t xml:space="preserve">Unit IV </w:t>
            </w:r>
          </w:p>
          <w:p w14:paraId="0A74152E" w14:textId="1DECB599"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sz w:val="24"/>
                <w:szCs w:val="24"/>
              </w:rPr>
            </w:pPr>
            <w:r w:rsidRPr="00D92326">
              <w:rPr>
                <w:rFonts w:ascii="Times New Roman" w:hAnsi="Times New Roman"/>
                <w:sz w:val="24"/>
                <w:szCs w:val="24"/>
              </w:rPr>
              <w:t>Leasing Concepts — Types — Lease Evaluation and Accounting — Lease rentals — Legal Aspects</w:t>
            </w:r>
          </w:p>
          <w:p w14:paraId="1CFF5E17" w14:textId="77777777" w:rsidR="00D73F2D" w:rsidRPr="00D92326" w:rsidRDefault="00D73F2D" w:rsidP="007243BF">
            <w:pPr>
              <w:tabs>
                <w:tab w:val="left" w:pos="720"/>
                <w:tab w:val="left" w:pos="1440"/>
                <w:tab w:val="left" w:pos="2160"/>
                <w:tab w:val="left" w:pos="2715"/>
                <w:tab w:val="center" w:pos="3411"/>
              </w:tabs>
              <w:spacing w:after="0"/>
              <w:jc w:val="both"/>
              <w:rPr>
                <w:rFonts w:ascii="Times New Roman" w:hAnsi="Times New Roman"/>
                <w:sz w:val="24"/>
                <w:szCs w:val="24"/>
              </w:rPr>
            </w:pPr>
          </w:p>
          <w:p w14:paraId="109629AE" w14:textId="77777777" w:rsidR="00D73F2D" w:rsidRPr="00D92326" w:rsidRDefault="007C441B"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r w:rsidRPr="00D92326">
              <w:rPr>
                <w:rFonts w:ascii="Times New Roman" w:hAnsi="Times New Roman"/>
                <w:b/>
                <w:sz w:val="24"/>
                <w:szCs w:val="24"/>
                <w:u w:val="single"/>
              </w:rPr>
              <w:t xml:space="preserve">Unit V </w:t>
            </w:r>
          </w:p>
          <w:p w14:paraId="455AB172" w14:textId="77777777" w:rsidR="007C321B" w:rsidRPr="00D92326" w:rsidRDefault="007C441B" w:rsidP="007243BF">
            <w:pPr>
              <w:tabs>
                <w:tab w:val="left" w:pos="720"/>
                <w:tab w:val="left" w:pos="1440"/>
                <w:tab w:val="left" w:pos="2160"/>
                <w:tab w:val="left" w:pos="2715"/>
                <w:tab w:val="center" w:pos="3411"/>
              </w:tabs>
              <w:spacing w:after="0"/>
              <w:jc w:val="both"/>
              <w:rPr>
                <w:rFonts w:ascii="Times New Roman" w:hAnsi="Times New Roman"/>
                <w:sz w:val="24"/>
                <w:szCs w:val="24"/>
              </w:rPr>
            </w:pPr>
            <w:r w:rsidRPr="00D92326">
              <w:rPr>
                <w:rFonts w:ascii="Times New Roman" w:hAnsi="Times New Roman"/>
                <w:sz w:val="24"/>
                <w:szCs w:val="24"/>
              </w:rPr>
              <w:t xml:space="preserve">Mergers </w:t>
            </w:r>
            <w:r w:rsidR="00D73F2D" w:rsidRPr="00D92326">
              <w:rPr>
                <w:rFonts w:ascii="Times New Roman" w:hAnsi="Times New Roman"/>
                <w:sz w:val="24"/>
                <w:szCs w:val="24"/>
              </w:rPr>
              <w:t>a</w:t>
            </w:r>
            <w:r w:rsidRPr="00D92326">
              <w:rPr>
                <w:rFonts w:ascii="Times New Roman" w:hAnsi="Times New Roman"/>
                <w:sz w:val="24"/>
                <w:szCs w:val="24"/>
              </w:rPr>
              <w:t xml:space="preserve">nd Amalgamation Merger as a Strategy — SEBI Guidelines - Corporate Tax Planning-Amalgamation - Sickness - Revival — BIFR Provisions </w:t>
            </w:r>
          </w:p>
          <w:p w14:paraId="1FD32906" w14:textId="0BC951FB" w:rsidR="00D73F2D" w:rsidRPr="00D92326" w:rsidRDefault="00D73F2D" w:rsidP="007243BF">
            <w:pPr>
              <w:tabs>
                <w:tab w:val="left" w:pos="720"/>
                <w:tab w:val="left" w:pos="1440"/>
                <w:tab w:val="left" w:pos="2160"/>
                <w:tab w:val="left" w:pos="2715"/>
                <w:tab w:val="center" w:pos="3411"/>
              </w:tabs>
              <w:spacing w:after="0"/>
              <w:jc w:val="both"/>
              <w:rPr>
                <w:rFonts w:ascii="Times New Roman" w:hAnsi="Times New Roman"/>
                <w:b/>
                <w:noProof/>
                <w:sz w:val="24"/>
                <w:szCs w:val="24"/>
              </w:rPr>
            </w:pPr>
          </w:p>
        </w:tc>
      </w:tr>
      <w:tr w:rsidR="007C321B" w:rsidRPr="00D92326" w14:paraId="31727B28" w14:textId="77777777" w:rsidTr="00D92326">
        <w:trPr>
          <w:trHeight w:val="260"/>
        </w:trPr>
        <w:tc>
          <w:tcPr>
            <w:tcW w:w="9640" w:type="dxa"/>
            <w:gridSpan w:val="6"/>
            <w:shd w:val="clear" w:color="auto" w:fill="FFFFFF"/>
          </w:tcPr>
          <w:p w14:paraId="6C69C9E0" w14:textId="77777777" w:rsidR="007C321B" w:rsidRPr="00D92326" w:rsidRDefault="007C321B" w:rsidP="007243BF">
            <w:pPr>
              <w:tabs>
                <w:tab w:val="left" w:pos="720"/>
                <w:tab w:val="left" w:pos="1440"/>
                <w:tab w:val="left" w:pos="2160"/>
                <w:tab w:val="left" w:pos="2715"/>
                <w:tab w:val="center" w:pos="3411"/>
              </w:tabs>
              <w:spacing w:after="0" w:line="240" w:lineRule="auto"/>
              <w:rPr>
                <w:rFonts w:ascii="Times New Roman" w:hAnsi="Times New Roman"/>
                <w:b/>
                <w:noProof/>
              </w:rPr>
            </w:pPr>
            <w:r w:rsidRPr="00D92326">
              <w:rPr>
                <w:rFonts w:ascii="Times New Roman" w:hAnsi="Times New Roman"/>
                <w:b/>
                <w:noProof/>
              </w:rPr>
              <w:lastRenderedPageBreak/>
              <w:t xml:space="preserve">COURSE OBJECTIVES </w:t>
            </w:r>
          </w:p>
        </w:tc>
      </w:tr>
      <w:tr w:rsidR="007C321B" w:rsidRPr="00D92326" w14:paraId="592B1F64" w14:textId="77777777" w:rsidTr="00D92326">
        <w:trPr>
          <w:trHeight w:val="260"/>
        </w:trPr>
        <w:tc>
          <w:tcPr>
            <w:tcW w:w="9640" w:type="dxa"/>
            <w:gridSpan w:val="6"/>
            <w:shd w:val="clear" w:color="auto" w:fill="FFFFFF"/>
          </w:tcPr>
          <w:p w14:paraId="0FEB83C7" w14:textId="37B7C7C6" w:rsidR="007C321B" w:rsidRPr="00D92326" w:rsidRDefault="00D73F2D" w:rsidP="00D73F2D">
            <w:pPr>
              <w:pStyle w:val="NormalWeb"/>
              <w:jc w:val="both"/>
              <w:rPr>
                <w:noProof/>
              </w:rPr>
            </w:pPr>
            <w:r w:rsidRPr="00D92326">
              <w:t>Course aim is to provide an understanding (from both a theoretical and an empirical standpoint) of some of the central decision problems in corporate finance: capital raising, capital structure decisions, the effects of conflicts between different types of stakeholders within the firm and corporate ownership and governance issues. This course will help students to apply theoretical concepts to real case scenarios and develop their analytical skills in analysing and discussing case studies of real companies.</w:t>
            </w:r>
          </w:p>
        </w:tc>
      </w:tr>
    </w:tbl>
    <w:p w14:paraId="2782D295" w14:textId="77777777" w:rsidR="007C321B" w:rsidRPr="00D92326" w:rsidRDefault="007C321B" w:rsidP="007C321B">
      <w:pPr>
        <w:rPr>
          <w:rFonts w:ascii="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7C321B" w:rsidRPr="00D92326" w14:paraId="779EFFD1" w14:textId="77777777" w:rsidTr="00D92326">
        <w:trPr>
          <w:jc w:val="center"/>
        </w:trPr>
        <w:tc>
          <w:tcPr>
            <w:tcW w:w="9634" w:type="dxa"/>
            <w:shd w:val="clear" w:color="auto" w:fill="AEAAAA" w:themeFill="background2" w:themeFillShade="BF"/>
          </w:tcPr>
          <w:p w14:paraId="60D572B9" w14:textId="77777777"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color w:val="FF0000"/>
                <w:sz w:val="24"/>
                <w:szCs w:val="24"/>
              </w:rPr>
              <w:tab/>
            </w:r>
            <w:r w:rsidRPr="00D92326">
              <w:rPr>
                <w:rFonts w:ascii="Times New Roman" w:hAnsi="Times New Roman"/>
                <w:b/>
                <w:sz w:val="24"/>
                <w:szCs w:val="24"/>
              </w:rPr>
              <w:t>COURSE PLAN – PART II</w:t>
            </w:r>
          </w:p>
        </w:tc>
      </w:tr>
      <w:tr w:rsidR="007C321B" w:rsidRPr="00D92326" w14:paraId="6BF64409" w14:textId="77777777" w:rsidTr="00D92326">
        <w:trPr>
          <w:jc w:val="center"/>
        </w:trPr>
        <w:tc>
          <w:tcPr>
            <w:tcW w:w="9634" w:type="dxa"/>
            <w:shd w:val="clear" w:color="auto" w:fill="FFFFFF" w:themeFill="background1"/>
          </w:tcPr>
          <w:p w14:paraId="7CE80434" w14:textId="4E394A8B" w:rsidR="007C321B" w:rsidRPr="00D92326" w:rsidRDefault="007C321B" w:rsidP="007243BF">
            <w:pPr>
              <w:spacing w:after="0" w:line="240" w:lineRule="auto"/>
              <w:jc w:val="both"/>
              <w:rPr>
                <w:rFonts w:ascii="Times New Roman" w:hAnsi="Times New Roman"/>
                <w:noProof/>
                <w:sz w:val="24"/>
                <w:szCs w:val="24"/>
              </w:rPr>
            </w:pPr>
            <w:r w:rsidRPr="00D92326">
              <w:rPr>
                <w:rFonts w:ascii="Times New Roman" w:hAnsi="Times New Roman"/>
                <w:b/>
                <w:noProof/>
                <w:sz w:val="24"/>
                <w:szCs w:val="24"/>
              </w:rPr>
              <w:t xml:space="preserve">            </w:t>
            </w:r>
          </w:p>
        </w:tc>
      </w:tr>
      <w:tr w:rsidR="007C321B" w:rsidRPr="00D92326" w14:paraId="5FD2FB72" w14:textId="77777777" w:rsidTr="00D92326">
        <w:trPr>
          <w:jc w:val="center"/>
        </w:trPr>
        <w:tc>
          <w:tcPr>
            <w:tcW w:w="9634" w:type="dxa"/>
            <w:shd w:val="clear" w:color="auto" w:fill="FFFFFF" w:themeFill="background1"/>
          </w:tcPr>
          <w:p w14:paraId="643F93F8" w14:textId="77777777"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COURSE TEACHING AND LEARNING ACTIVITIES</w:t>
            </w:r>
          </w:p>
          <w:p w14:paraId="7C790EAF" w14:textId="77777777" w:rsidR="00791834" w:rsidRPr="00D92326" w:rsidRDefault="00791834" w:rsidP="00791834">
            <w:pPr>
              <w:jc w:val="both"/>
              <w:rPr>
                <w:rFonts w:ascii="Times New Roman" w:hAnsi="Times New Roman"/>
                <w:b/>
                <w:sz w:val="24"/>
                <w:szCs w:val="24"/>
                <w:u w:val="single"/>
              </w:rPr>
            </w:pPr>
            <w:r w:rsidRPr="00D92326">
              <w:rPr>
                <w:rFonts w:ascii="Times New Roman" w:hAnsi="Times New Roman"/>
                <w:b/>
                <w:sz w:val="24"/>
                <w:szCs w:val="24"/>
                <w:u w:val="single"/>
              </w:rPr>
              <w:t>Introduction:</w:t>
            </w:r>
          </w:p>
          <w:p w14:paraId="4B3556D2" w14:textId="77777777" w:rsidR="00791834" w:rsidRPr="00D92326" w:rsidRDefault="00791834" w:rsidP="00D92326">
            <w:pPr>
              <w:spacing w:after="0" w:line="240" w:lineRule="auto"/>
              <w:ind w:right="-246"/>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It is widely accepted that most financial decisions are rarely made in scenarios where full information relevant to the decision is available to all decision makers, an assumption of standard models dealing with economic decision making in general and financial decision making in particular. The study of financial decision making in the presence of information asymmetries and incomplete information attempts to bridge the gap between existing financial decision making models and real-life decision scenarios.</w:t>
            </w:r>
          </w:p>
          <w:p w14:paraId="58508AE2" w14:textId="77777777" w:rsidR="00791834" w:rsidRPr="00D92326" w:rsidRDefault="00791834" w:rsidP="00791834">
            <w:pPr>
              <w:spacing w:after="0" w:line="240" w:lineRule="auto"/>
              <w:jc w:val="both"/>
              <w:rPr>
                <w:rFonts w:ascii="Times New Roman" w:eastAsia="Times New Roman" w:hAnsi="Times New Roman"/>
                <w:sz w:val="24"/>
                <w:szCs w:val="24"/>
                <w:lang w:val="en-GB" w:eastAsia="en-GB"/>
              </w:rPr>
            </w:pPr>
          </w:p>
          <w:p w14:paraId="70AEE60C" w14:textId="77777777" w:rsidR="00791834" w:rsidRPr="00D92326" w:rsidRDefault="00791834" w:rsidP="00791834">
            <w:pPr>
              <w:autoSpaceDE w:val="0"/>
              <w:autoSpaceDN w:val="0"/>
              <w:adjustRightInd w:val="0"/>
              <w:spacing w:after="0" w:line="240" w:lineRule="auto"/>
              <w:jc w:val="both"/>
              <w:rPr>
                <w:rFonts w:ascii="Times New Roman" w:eastAsia="Times New Roman" w:hAnsi="Times New Roman"/>
                <w:b/>
                <w:sz w:val="24"/>
                <w:szCs w:val="24"/>
                <w:u w:val="single"/>
                <w:lang w:val="en-GB"/>
              </w:rPr>
            </w:pPr>
            <w:bookmarkStart w:id="0" w:name="_GoBack"/>
            <w:bookmarkEnd w:id="0"/>
            <w:r w:rsidRPr="00D92326">
              <w:rPr>
                <w:rFonts w:ascii="Times New Roman" w:eastAsia="Times New Roman" w:hAnsi="Times New Roman"/>
                <w:b/>
                <w:sz w:val="24"/>
                <w:szCs w:val="24"/>
                <w:u w:val="single"/>
                <w:lang w:val="en-GB"/>
              </w:rPr>
              <w:t>Pedagogy:</w:t>
            </w:r>
          </w:p>
          <w:p w14:paraId="00BC5CD0"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r w:rsidRPr="00D92326">
              <w:rPr>
                <w:rFonts w:ascii="Times New Roman" w:hAnsi="Times New Roman"/>
                <w:sz w:val="24"/>
                <w:szCs w:val="24"/>
              </w:rPr>
              <w:t xml:space="preserve">This course is delivered through a combination of lectures, seminars and group work on case studies, exercises and problems. </w:t>
            </w:r>
          </w:p>
          <w:p w14:paraId="5541542E"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p>
          <w:p w14:paraId="46474087" w14:textId="77777777" w:rsidR="00791834" w:rsidRPr="00D92326" w:rsidRDefault="00791834" w:rsidP="00791834">
            <w:pPr>
              <w:autoSpaceDE w:val="0"/>
              <w:autoSpaceDN w:val="0"/>
              <w:adjustRightInd w:val="0"/>
              <w:spacing w:after="0" w:line="240" w:lineRule="auto"/>
              <w:jc w:val="both"/>
              <w:rPr>
                <w:rFonts w:ascii="Times New Roman" w:hAnsi="Times New Roman"/>
                <w:b/>
                <w:sz w:val="24"/>
                <w:szCs w:val="24"/>
                <w:u w:val="single"/>
              </w:rPr>
            </w:pPr>
            <w:r w:rsidRPr="00D92326">
              <w:rPr>
                <w:rFonts w:ascii="Times New Roman" w:hAnsi="Times New Roman"/>
                <w:b/>
                <w:sz w:val="24"/>
                <w:szCs w:val="24"/>
                <w:u w:val="single"/>
              </w:rPr>
              <w:t>Evaluation:</w:t>
            </w:r>
          </w:p>
          <w:p w14:paraId="36835BDA"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r w:rsidRPr="00D92326">
              <w:rPr>
                <w:rFonts w:ascii="Times New Roman" w:hAnsi="Times New Roman"/>
                <w:sz w:val="24"/>
                <w:szCs w:val="24"/>
              </w:rPr>
              <w:t xml:space="preserve">Assessment is through </w:t>
            </w:r>
            <w:proofErr w:type="gramStart"/>
            <w:r w:rsidRPr="00D92326">
              <w:rPr>
                <w:rFonts w:ascii="Times New Roman" w:hAnsi="Times New Roman"/>
                <w:sz w:val="24"/>
                <w:szCs w:val="24"/>
              </w:rPr>
              <w:t>Tutorials(</w:t>
            </w:r>
            <w:proofErr w:type="gramEnd"/>
            <w:r w:rsidRPr="00D92326">
              <w:rPr>
                <w:rFonts w:ascii="Times New Roman" w:hAnsi="Times New Roman"/>
                <w:sz w:val="24"/>
                <w:szCs w:val="24"/>
              </w:rPr>
              <w:t>30%), Assignments (10%), Presentations (10%) and Written Examination (50%).</w:t>
            </w:r>
          </w:p>
          <w:p w14:paraId="686787BE" w14:textId="77777777" w:rsidR="00791834" w:rsidRPr="00D92326" w:rsidRDefault="00791834" w:rsidP="00791834">
            <w:pPr>
              <w:autoSpaceDE w:val="0"/>
              <w:autoSpaceDN w:val="0"/>
              <w:adjustRightInd w:val="0"/>
              <w:spacing w:after="0" w:line="240" w:lineRule="auto"/>
              <w:jc w:val="both"/>
              <w:rPr>
                <w:rFonts w:ascii="Times New Roman" w:hAnsi="Times New Roman"/>
                <w:b/>
                <w:sz w:val="24"/>
                <w:szCs w:val="24"/>
                <w:u w:val="single"/>
              </w:rPr>
            </w:pPr>
          </w:p>
          <w:p w14:paraId="66CF8426"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r w:rsidRPr="00D92326">
              <w:rPr>
                <w:rFonts w:ascii="Times New Roman" w:hAnsi="Times New Roman"/>
                <w:b/>
                <w:sz w:val="24"/>
                <w:szCs w:val="24"/>
                <w:u w:val="single"/>
              </w:rPr>
              <w:t>No. of Credits:</w:t>
            </w:r>
            <w:r w:rsidRPr="00D92326">
              <w:rPr>
                <w:rFonts w:ascii="Times New Roman" w:hAnsi="Times New Roman"/>
                <w:sz w:val="24"/>
                <w:szCs w:val="24"/>
              </w:rPr>
              <w:t xml:space="preserve"> </w:t>
            </w:r>
          </w:p>
          <w:p w14:paraId="420D96DF"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r w:rsidRPr="00D92326">
              <w:rPr>
                <w:rFonts w:ascii="Times New Roman" w:hAnsi="Times New Roman"/>
                <w:sz w:val="24"/>
                <w:szCs w:val="24"/>
              </w:rPr>
              <w:t>3 (3 Lectures/ week)</w:t>
            </w:r>
          </w:p>
          <w:p w14:paraId="1E61C686"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p>
          <w:p w14:paraId="2809D088" w14:textId="77777777" w:rsidR="00791834" w:rsidRPr="00D92326" w:rsidRDefault="00791834" w:rsidP="00791834">
            <w:pPr>
              <w:autoSpaceDE w:val="0"/>
              <w:autoSpaceDN w:val="0"/>
              <w:adjustRightInd w:val="0"/>
              <w:spacing w:after="0" w:line="240" w:lineRule="auto"/>
              <w:jc w:val="both"/>
              <w:rPr>
                <w:rFonts w:ascii="Times New Roman" w:hAnsi="Times New Roman"/>
                <w:sz w:val="24"/>
                <w:szCs w:val="24"/>
              </w:rPr>
            </w:pPr>
            <w:r w:rsidRPr="00D92326">
              <w:rPr>
                <w:rFonts w:ascii="Times New Roman" w:hAnsi="Times New Roman"/>
                <w:b/>
                <w:sz w:val="24"/>
                <w:szCs w:val="24"/>
                <w:u w:val="single"/>
              </w:rPr>
              <w:t>Attendance:</w:t>
            </w:r>
            <w:r w:rsidRPr="00D92326">
              <w:rPr>
                <w:rFonts w:ascii="Times New Roman" w:hAnsi="Times New Roman"/>
                <w:sz w:val="24"/>
                <w:szCs w:val="24"/>
              </w:rPr>
              <w:t xml:space="preserve">  Minimum 75% required to take up the end semester examination</w:t>
            </w:r>
          </w:p>
          <w:p w14:paraId="4199B3CB" w14:textId="65CB2052" w:rsidR="00791834" w:rsidRPr="00D92326" w:rsidRDefault="00791834" w:rsidP="007243BF">
            <w:pPr>
              <w:spacing w:after="0" w:line="240" w:lineRule="auto"/>
              <w:jc w:val="both"/>
              <w:rPr>
                <w:rFonts w:ascii="Times New Roman" w:hAnsi="Times New Roman"/>
                <w:b/>
                <w:noProof/>
                <w:sz w:val="24"/>
                <w:szCs w:val="24"/>
              </w:rPr>
            </w:pPr>
          </w:p>
          <w:p w14:paraId="760CD5AF" w14:textId="77777777" w:rsidR="00791834" w:rsidRPr="00D92326" w:rsidRDefault="00791834" w:rsidP="00791834">
            <w:pPr>
              <w:pStyle w:val="NormalWeb"/>
              <w:jc w:val="both"/>
              <w:rPr>
                <w:b/>
                <w:bCs/>
              </w:rPr>
            </w:pPr>
            <w:r w:rsidRPr="00D92326">
              <w:rPr>
                <w:b/>
                <w:bCs/>
              </w:rPr>
              <w:t>Unit I Stochastic Models</w:t>
            </w:r>
          </w:p>
          <w:p w14:paraId="656EA3C4" w14:textId="77777777" w:rsidR="00791834" w:rsidRPr="00D92326" w:rsidRDefault="00791834" w:rsidP="00791834">
            <w:pPr>
              <w:pStyle w:val="NormalWeb"/>
              <w:jc w:val="both"/>
              <w:rPr>
                <w:b/>
                <w:bCs/>
                <w:u w:val="single"/>
              </w:rPr>
            </w:pPr>
            <w:r w:rsidRPr="00D92326">
              <w:rPr>
                <w:b/>
                <w:bCs/>
                <w:u w:val="single"/>
              </w:rPr>
              <w:t>Introduction</w:t>
            </w:r>
          </w:p>
          <w:p w14:paraId="608D8685"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 xml:space="preserve">There are numerous kinds of risks to be taken into account when considering capital budgeting including: corporate risk, international risk (including currency risk), industry-specific risk, market risk, stand-alone risk and project-specific risk. Each of these risks addresses an area in which some sort of volatility could forcibly alter the plan of firm managers. A related practice is uncertainty analysis which focuses rather on quantifying uncertainty in model output. Ideally, uncertainty and sensitivity analysis should be run in tandem. Another method is scenario analysis, which involves </w:t>
            </w:r>
            <w:r w:rsidRPr="00D92326">
              <w:rPr>
                <w:rFonts w:ascii="Times New Roman" w:eastAsia="Times New Roman" w:hAnsi="Times New Roman"/>
                <w:sz w:val="24"/>
                <w:szCs w:val="24"/>
                <w:lang w:val="en-GB" w:eastAsia="en-GB"/>
              </w:rPr>
              <w:lastRenderedPageBreak/>
              <w:t xml:space="preserve">the process of </w:t>
            </w:r>
            <w:proofErr w:type="spellStart"/>
            <w:r w:rsidRPr="00D92326">
              <w:rPr>
                <w:rFonts w:ascii="Times New Roman" w:eastAsia="Times New Roman" w:hAnsi="Times New Roman"/>
                <w:sz w:val="24"/>
                <w:szCs w:val="24"/>
                <w:lang w:val="en-GB" w:eastAsia="en-GB"/>
              </w:rPr>
              <w:t>analyzing</w:t>
            </w:r>
            <w:proofErr w:type="spellEnd"/>
            <w:r w:rsidRPr="00D92326">
              <w:rPr>
                <w:rFonts w:ascii="Times New Roman" w:eastAsia="Times New Roman" w:hAnsi="Times New Roman"/>
                <w:sz w:val="24"/>
                <w:szCs w:val="24"/>
                <w:lang w:val="en-GB" w:eastAsia="en-GB"/>
              </w:rPr>
              <w:t xml:space="preserve"> possible future events by considering alternative possible outcomes. For example, a financial institution might attempt to forecast several possible scenarios for the economy (e.g., rapid growth, moderate growth, slow growth), and it might also attempt to forecast financial market returns (for bonds, stocks, and cash) in each of those scenarios. It might consider sub-sets of each of the possibilities. It might further seek to determine correlations and assign probabilities to the scenarios. Then it will be in a position to consider how to distribute assets between asset types (i.e., asset allocation). The institution can also calculate the scenario-weighted expected </w:t>
            </w:r>
            <w:proofErr w:type="gramStart"/>
            <w:r w:rsidRPr="00D92326">
              <w:rPr>
                <w:rFonts w:ascii="Times New Roman" w:eastAsia="Times New Roman" w:hAnsi="Times New Roman"/>
                <w:sz w:val="24"/>
                <w:szCs w:val="24"/>
                <w:lang w:val="en-GB" w:eastAsia="en-GB"/>
              </w:rPr>
              <w:t>return(</w:t>
            </w:r>
            <w:proofErr w:type="gramEnd"/>
            <w:r w:rsidRPr="00D92326">
              <w:rPr>
                <w:rFonts w:ascii="Times New Roman" w:eastAsia="Times New Roman" w:hAnsi="Times New Roman"/>
                <w:sz w:val="24"/>
                <w:szCs w:val="24"/>
                <w:lang w:val="en-GB" w:eastAsia="en-GB"/>
              </w:rPr>
              <w:t>which figure will indicate the overall attractiveness of the financial environment). It may also perform stress testing, using adverse scenarios.</w:t>
            </w:r>
          </w:p>
          <w:tbl>
            <w:tblPr>
              <w:tblStyle w:val="TableGrid"/>
              <w:tblW w:w="0" w:type="auto"/>
              <w:tblLayout w:type="fixed"/>
              <w:tblLook w:val="04A0" w:firstRow="1" w:lastRow="0" w:firstColumn="1" w:lastColumn="0" w:noHBand="0" w:noVBand="1"/>
            </w:tblPr>
            <w:tblGrid>
              <w:gridCol w:w="7308"/>
              <w:gridCol w:w="1620"/>
            </w:tblGrid>
            <w:tr w:rsidR="00791834" w:rsidRPr="00D92326" w14:paraId="72F800A4" w14:textId="77777777" w:rsidTr="007C2734">
              <w:trPr>
                <w:trHeight w:val="294"/>
              </w:trPr>
              <w:tc>
                <w:tcPr>
                  <w:tcW w:w="7308" w:type="dxa"/>
                </w:tcPr>
                <w:p w14:paraId="306E80DF"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Topic</w:t>
                  </w:r>
                </w:p>
              </w:tc>
              <w:tc>
                <w:tcPr>
                  <w:tcW w:w="1620" w:type="dxa"/>
                </w:tcPr>
                <w:p w14:paraId="1A52BBB6"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No. of hours</w:t>
                  </w:r>
                </w:p>
              </w:tc>
            </w:tr>
            <w:tr w:rsidR="00791834" w:rsidRPr="00D92326" w14:paraId="3AB6F787" w14:textId="77777777" w:rsidTr="007C2734">
              <w:trPr>
                <w:trHeight w:val="332"/>
              </w:trPr>
              <w:tc>
                <w:tcPr>
                  <w:tcW w:w="7308" w:type="dxa"/>
                </w:tcPr>
                <w:p w14:paraId="2F3D9761"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Sensitivity Analysis</w:t>
                  </w:r>
                </w:p>
              </w:tc>
              <w:tc>
                <w:tcPr>
                  <w:tcW w:w="1620" w:type="dxa"/>
                </w:tcPr>
                <w:p w14:paraId="68E52B31"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25A2080A" w14:textId="77777777" w:rsidTr="007C2734">
              <w:trPr>
                <w:trHeight w:val="332"/>
              </w:trPr>
              <w:tc>
                <w:tcPr>
                  <w:tcW w:w="7308" w:type="dxa"/>
                </w:tcPr>
                <w:p w14:paraId="1842D222"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Scenario Analysis and decision tree method</w:t>
                  </w:r>
                </w:p>
              </w:tc>
              <w:tc>
                <w:tcPr>
                  <w:tcW w:w="1620" w:type="dxa"/>
                </w:tcPr>
                <w:p w14:paraId="56841EE4"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0D78386E" w14:textId="77777777" w:rsidTr="007C2734">
              <w:trPr>
                <w:trHeight w:val="306"/>
              </w:trPr>
              <w:tc>
                <w:tcPr>
                  <w:tcW w:w="7308" w:type="dxa"/>
                </w:tcPr>
                <w:p w14:paraId="541B4119"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Monte Carlo simulation method</w:t>
                  </w:r>
                </w:p>
              </w:tc>
              <w:tc>
                <w:tcPr>
                  <w:tcW w:w="1620" w:type="dxa"/>
                </w:tcPr>
                <w:p w14:paraId="349D3147"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0DEB1F7F" w14:textId="77777777" w:rsidTr="007C2734">
              <w:trPr>
                <w:trHeight w:val="306"/>
              </w:trPr>
              <w:tc>
                <w:tcPr>
                  <w:tcW w:w="7308" w:type="dxa"/>
                </w:tcPr>
                <w:p w14:paraId="581979F3"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Total</w:t>
                  </w:r>
                </w:p>
              </w:tc>
              <w:tc>
                <w:tcPr>
                  <w:tcW w:w="1620" w:type="dxa"/>
                </w:tcPr>
                <w:p w14:paraId="64683CA3"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06</w:t>
                  </w:r>
                </w:p>
              </w:tc>
            </w:tr>
          </w:tbl>
          <w:p w14:paraId="1023FC4B"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b/>
                <w:sz w:val="24"/>
                <w:szCs w:val="24"/>
                <w:u w:val="single"/>
                <w:lang w:val="en-GB" w:eastAsia="en-GB"/>
              </w:rPr>
            </w:pPr>
            <w:r w:rsidRPr="00D92326">
              <w:rPr>
                <w:rFonts w:ascii="Times New Roman" w:eastAsia="Times New Roman" w:hAnsi="Times New Roman"/>
                <w:b/>
                <w:sz w:val="24"/>
                <w:szCs w:val="24"/>
                <w:u w:val="single"/>
                <w:lang w:val="en-GB" w:eastAsia="en-GB"/>
              </w:rPr>
              <w:t>Learning Outcomes:</w:t>
            </w:r>
          </w:p>
          <w:p w14:paraId="4F9282B7" w14:textId="77777777" w:rsidR="00791834" w:rsidRPr="00D92326" w:rsidRDefault="00791834" w:rsidP="00791834">
            <w:pPr>
              <w:pStyle w:val="eb02bodytextfullout"/>
              <w:numPr>
                <w:ilvl w:val="0"/>
                <w:numId w:val="5"/>
              </w:numPr>
              <w:jc w:val="both"/>
            </w:pPr>
            <w:r w:rsidRPr="00D92326">
              <w:t>Understand the measurement of risk.</w:t>
            </w:r>
          </w:p>
          <w:p w14:paraId="42AD8C88" w14:textId="77777777" w:rsidR="00791834" w:rsidRPr="00D92326" w:rsidRDefault="00791834" w:rsidP="00791834">
            <w:pPr>
              <w:pStyle w:val="eb02bodytextfullout"/>
              <w:numPr>
                <w:ilvl w:val="0"/>
                <w:numId w:val="5"/>
              </w:numPr>
              <w:jc w:val="both"/>
            </w:pPr>
            <w:r w:rsidRPr="00D92326">
              <w:t>Discuss the absolute measures of standalone investments and projects.</w:t>
            </w:r>
          </w:p>
          <w:p w14:paraId="16F52662" w14:textId="77777777" w:rsidR="00791834" w:rsidRPr="00D92326" w:rsidRDefault="00791834" w:rsidP="00791834">
            <w:pPr>
              <w:pStyle w:val="eb02bodytextfullout"/>
              <w:numPr>
                <w:ilvl w:val="0"/>
                <w:numId w:val="5"/>
              </w:numPr>
              <w:jc w:val="both"/>
            </w:pPr>
            <w:r w:rsidRPr="00D92326">
              <w:t>Understand the methods used to quantify risk in capital budgeting.</w:t>
            </w:r>
          </w:p>
          <w:p w14:paraId="55CE436F" w14:textId="77777777" w:rsidR="00791834" w:rsidRPr="00D92326" w:rsidRDefault="00791834" w:rsidP="00791834">
            <w:pPr>
              <w:pStyle w:val="eb02bodytextfullout"/>
              <w:numPr>
                <w:ilvl w:val="0"/>
                <w:numId w:val="5"/>
              </w:numPr>
              <w:jc w:val="both"/>
            </w:pPr>
            <w:r w:rsidRPr="00D92326">
              <w:t>Look at the various risk-evaluation approaches in capital budgeting.</w:t>
            </w:r>
          </w:p>
          <w:p w14:paraId="64FDDE40"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b/>
                <w:bCs/>
              </w:rPr>
              <w:t xml:space="preserve">Unit II Capital Structure </w:t>
            </w:r>
          </w:p>
          <w:p w14:paraId="7A4430C9" w14:textId="77777777" w:rsidR="00791834" w:rsidRPr="00D92326" w:rsidRDefault="00791834" w:rsidP="00791834">
            <w:pPr>
              <w:pStyle w:val="NormalWeb"/>
              <w:jc w:val="both"/>
              <w:rPr>
                <w:b/>
                <w:bCs/>
                <w:u w:val="single"/>
              </w:rPr>
            </w:pPr>
            <w:r w:rsidRPr="00D92326">
              <w:rPr>
                <w:b/>
                <w:bCs/>
                <w:u w:val="single"/>
              </w:rPr>
              <w:t>Introduction</w:t>
            </w:r>
          </w:p>
          <w:p w14:paraId="251092AC" w14:textId="77777777" w:rsidR="00791834" w:rsidRPr="00D92326" w:rsidRDefault="00791834" w:rsidP="00791834">
            <w:pPr>
              <w:pStyle w:val="NormalWeb"/>
              <w:jc w:val="both"/>
              <w:rPr>
                <w:b/>
                <w:bCs/>
                <w:u w:val="single"/>
              </w:rPr>
            </w:pPr>
            <w:r w:rsidRPr="00D92326">
              <w:t>Chief financial officers (CFOs) constantly encounter these questions when managing their balance sheets: firstly, is it advisable to return the excess cash to shareholders or invest it, and secondly, should they finance their new projects by adding debt or raising capital from equity? Achieving the right capital structure by defining the composition of debt and equity for an organization to finance its operations and investments has challenged academics and practitioners alike. Some companies focus on the traditional tax benefit of debt, since interest is often a tax deductible expense, while many other companies hold substantial amounts of cash and explore options of what to do with it. The choice of capital structure for firms is by and large the most fundamental issue of the financial framework of a business entity. Methods by which public corporations finance their assets set up their ownership structure and reflect standards of their corporate governance.</w:t>
            </w:r>
          </w:p>
          <w:p w14:paraId="07D78982"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sz w:val="24"/>
                <w:szCs w:val="24"/>
                <w:lang w:val="en-GB" w:eastAsia="en-GB"/>
              </w:rPr>
            </w:pPr>
          </w:p>
          <w:tbl>
            <w:tblPr>
              <w:tblStyle w:val="TableGrid"/>
              <w:tblW w:w="0" w:type="auto"/>
              <w:tblLayout w:type="fixed"/>
              <w:tblLook w:val="04A0" w:firstRow="1" w:lastRow="0" w:firstColumn="1" w:lastColumn="0" w:noHBand="0" w:noVBand="1"/>
            </w:tblPr>
            <w:tblGrid>
              <w:gridCol w:w="7308"/>
              <w:gridCol w:w="1620"/>
            </w:tblGrid>
            <w:tr w:rsidR="00791834" w:rsidRPr="00D92326" w14:paraId="1C4C2E7D" w14:textId="77777777" w:rsidTr="007C2734">
              <w:trPr>
                <w:trHeight w:val="294"/>
              </w:trPr>
              <w:tc>
                <w:tcPr>
                  <w:tcW w:w="7308" w:type="dxa"/>
                </w:tcPr>
                <w:p w14:paraId="72C2FC77"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Topic</w:t>
                  </w:r>
                </w:p>
              </w:tc>
              <w:tc>
                <w:tcPr>
                  <w:tcW w:w="1620" w:type="dxa"/>
                </w:tcPr>
                <w:p w14:paraId="3D5C62EF"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No. of hours</w:t>
                  </w:r>
                </w:p>
              </w:tc>
            </w:tr>
            <w:tr w:rsidR="00791834" w:rsidRPr="00D92326" w14:paraId="3930A6E7" w14:textId="77777777" w:rsidTr="007C2734">
              <w:trPr>
                <w:trHeight w:val="332"/>
              </w:trPr>
              <w:tc>
                <w:tcPr>
                  <w:tcW w:w="7308" w:type="dxa"/>
                </w:tcPr>
                <w:p w14:paraId="31A025B6"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Capital Structure determination</w:t>
                  </w:r>
                </w:p>
              </w:tc>
              <w:tc>
                <w:tcPr>
                  <w:tcW w:w="1620" w:type="dxa"/>
                </w:tcPr>
                <w:p w14:paraId="67D388B6"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3B63AF21" w14:textId="77777777" w:rsidTr="007C2734">
              <w:trPr>
                <w:trHeight w:val="332"/>
              </w:trPr>
              <w:tc>
                <w:tcPr>
                  <w:tcW w:w="7308" w:type="dxa"/>
                </w:tcPr>
                <w:p w14:paraId="1A7FBE44"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EBIT and EPS analysis, Indifference point analysis</w:t>
                  </w:r>
                </w:p>
              </w:tc>
              <w:tc>
                <w:tcPr>
                  <w:tcW w:w="1620" w:type="dxa"/>
                </w:tcPr>
                <w:p w14:paraId="31B30215"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1ECA5F0A" w14:textId="77777777" w:rsidTr="007C2734">
              <w:trPr>
                <w:trHeight w:val="306"/>
              </w:trPr>
              <w:tc>
                <w:tcPr>
                  <w:tcW w:w="7308" w:type="dxa"/>
                </w:tcPr>
                <w:p w14:paraId="7A42541C" w14:textId="77777777" w:rsidR="00791834" w:rsidRPr="00D92326" w:rsidRDefault="00791834" w:rsidP="00791834">
                  <w:pPr>
                    <w:pStyle w:val="Default"/>
                    <w:jc w:val="both"/>
                    <w:rPr>
                      <w:rFonts w:ascii="Times New Roman" w:hAnsi="Times New Roman" w:cs="Times New Roman"/>
                      <w:i/>
                    </w:rPr>
                  </w:pPr>
                  <w:r w:rsidRPr="00D92326">
                    <w:rPr>
                      <w:rStyle w:val="Emphasis"/>
                      <w:rFonts w:ascii="Times New Roman" w:hAnsi="Times New Roman" w:cs="Times New Roman"/>
                    </w:rPr>
                    <w:t>Efficient market hypothesis</w:t>
                  </w:r>
                </w:p>
              </w:tc>
              <w:tc>
                <w:tcPr>
                  <w:tcW w:w="1620" w:type="dxa"/>
                </w:tcPr>
                <w:p w14:paraId="5DA1AF2E"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24B65FDB" w14:textId="77777777" w:rsidTr="007C2734">
              <w:trPr>
                <w:trHeight w:val="306"/>
              </w:trPr>
              <w:tc>
                <w:tcPr>
                  <w:tcW w:w="7308" w:type="dxa"/>
                </w:tcPr>
                <w:p w14:paraId="54ACC89D"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lastRenderedPageBreak/>
                    <w:t>Total</w:t>
                  </w:r>
                </w:p>
              </w:tc>
              <w:tc>
                <w:tcPr>
                  <w:tcW w:w="1620" w:type="dxa"/>
                </w:tcPr>
                <w:p w14:paraId="039921E7"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06</w:t>
                  </w:r>
                </w:p>
              </w:tc>
            </w:tr>
          </w:tbl>
          <w:p w14:paraId="03880C3C"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b/>
                <w:sz w:val="24"/>
                <w:szCs w:val="24"/>
                <w:u w:val="single"/>
                <w:lang w:val="en-GB" w:eastAsia="en-GB"/>
              </w:rPr>
            </w:pPr>
            <w:r w:rsidRPr="00D92326">
              <w:rPr>
                <w:rFonts w:ascii="Times New Roman" w:eastAsia="Times New Roman" w:hAnsi="Times New Roman"/>
                <w:b/>
                <w:sz w:val="24"/>
                <w:szCs w:val="24"/>
                <w:u w:val="single"/>
                <w:lang w:val="en-GB" w:eastAsia="en-GB"/>
              </w:rPr>
              <w:t>Learning Outcomes:</w:t>
            </w:r>
          </w:p>
          <w:p w14:paraId="154A0BB4" w14:textId="77777777" w:rsidR="00791834" w:rsidRPr="00D92326" w:rsidRDefault="00791834" w:rsidP="00791834">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Outline guiding principles of capital structure decisions.</w:t>
            </w:r>
          </w:p>
          <w:p w14:paraId="54AFAAD1" w14:textId="77777777" w:rsidR="00791834" w:rsidRPr="00D92326" w:rsidRDefault="00791834" w:rsidP="00791834">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Factors influencing the pattern of capital structure</w:t>
            </w:r>
          </w:p>
          <w:p w14:paraId="7238F721" w14:textId="77777777" w:rsidR="00791834" w:rsidRPr="00D92326" w:rsidRDefault="00791834" w:rsidP="00791834">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Design the optimum capital structure to minimize the cost of capital and maximizing the EPS.</w:t>
            </w:r>
          </w:p>
          <w:p w14:paraId="0E6D99B6" w14:textId="77777777" w:rsidR="00791834" w:rsidRPr="00D92326" w:rsidRDefault="00791834" w:rsidP="00791834">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GB" w:eastAsia="en-GB"/>
              </w:rPr>
            </w:pPr>
            <w:r w:rsidRPr="00D92326">
              <w:rPr>
                <w:rFonts w:ascii="Times New Roman" w:hAnsi="Times New Roman"/>
                <w:sz w:val="24"/>
                <w:szCs w:val="24"/>
              </w:rPr>
              <w:t>Appraise the concepts associated with the efficient market hypothesis and apply them to investor decisions.</w:t>
            </w:r>
          </w:p>
          <w:p w14:paraId="1DAEA42D" w14:textId="77777777" w:rsidR="00791834" w:rsidRPr="00D92326" w:rsidRDefault="00791834" w:rsidP="00791834">
            <w:pPr>
              <w:spacing w:before="100" w:beforeAutospacing="1" w:after="100" w:afterAutospacing="1" w:line="240" w:lineRule="auto"/>
              <w:jc w:val="both"/>
              <w:rPr>
                <w:rFonts w:ascii="Times New Roman" w:hAnsi="Times New Roman"/>
                <w:b/>
                <w:bCs/>
                <w:sz w:val="24"/>
                <w:szCs w:val="24"/>
              </w:rPr>
            </w:pPr>
            <w:r w:rsidRPr="00D92326">
              <w:rPr>
                <w:rFonts w:ascii="Times New Roman" w:hAnsi="Times New Roman"/>
                <w:b/>
                <w:bCs/>
                <w:sz w:val="24"/>
                <w:szCs w:val="24"/>
              </w:rPr>
              <w:t>Unit III Corporate Financing</w:t>
            </w:r>
          </w:p>
          <w:p w14:paraId="4FDD09A5"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b/>
                <w:sz w:val="24"/>
                <w:szCs w:val="24"/>
                <w:u w:val="single"/>
                <w:lang w:val="en-GB" w:eastAsia="en-GB"/>
              </w:rPr>
            </w:pPr>
            <w:r w:rsidRPr="00D92326">
              <w:rPr>
                <w:rFonts w:ascii="Times New Roman" w:eastAsia="Times New Roman" w:hAnsi="Times New Roman"/>
                <w:b/>
                <w:sz w:val="24"/>
                <w:szCs w:val="24"/>
                <w:u w:val="single"/>
                <w:lang w:val="en-GB" w:eastAsia="en-GB"/>
              </w:rPr>
              <w:t>Introduction</w:t>
            </w:r>
          </w:p>
          <w:p w14:paraId="6DC7DABA" w14:textId="77777777" w:rsidR="00791834" w:rsidRPr="00D92326" w:rsidRDefault="00791834" w:rsidP="00791834">
            <w:pPr>
              <w:spacing w:after="0"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 xml:space="preserve">With the efficiency of financial markets and its implications for long-term corporate financing decisions. The amount of financial resources that a company gets for every bond or equity issued in the primary market depends on the price at which these securities are sold when first issued, and that price is determined by the market. It is for this reason, as you will learn through studying this unit, that the efficiency of capital markets has implications for corporate financing decisions. </w:t>
            </w:r>
          </w:p>
          <w:p w14:paraId="271EFEF8" w14:textId="77777777" w:rsidR="00791834" w:rsidRPr="00D92326" w:rsidRDefault="00791834" w:rsidP="00791834">
            <w:pPr>
              <w:spacing w:after="0" w:line="240" w:lineRule="auto"/>
              <w:jc w:val="both"/>
              <w:rPr>
                <w:rFonts w:ascii="Times New Roman" w:eastAsia="Times New Roman" w:hAnsi="Times New Roman"/>
                <w:sz w:val="24"/>
                <w:szCs w:val="24"/>
                <w:lang w:val="en-GB" w:eastAsia="en-GB"/>
              </w:rPr>
            </w:pPr>
          </w:p>
          <w:tbl>
            <w:tblPr>
              <w:tblStyle w:val="TableGrid"/>
              <w:tblW w:w="0" w:type="auto"/>
              <w:tblLayout w:type="fixed"/>
              <w:tblLook w:val="04A0" w:firstRow="1" w:lastRow="0" w:firstColumn="1" w:lastColumn="0" w:noHBand="0" w:noVBand="1"/>
            </w:tblPr>
            <w:tblGrid>
              <w:gridCol w:w="7308"/>
              <w:gridCol w:w="1620"/>
            </w:tblGrid>
            <w:tr w:rsidR="00791834" w:rsidRPr="00D92326" w14:paraId="120AA1BA" w14:textId="77777777" w:rsidTr="007C2734">
              <w:trPr>
                <w:trHeight w:val="294"/>
              </w:trPr>
              <w:tc>
                <w:tcPr>
                  <w:tcW w:w="7308" w:type="dxa"/>
                </w:tcPr>
                <w:p w14:paraId="6B282B0F"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Topic</w:t>
                  </w:r>
                </w:p>
              </w:tc>
              <w:tc>
                <w:tcPr>
                  <w:tcW w:w="1620" w:type="dxa"/>
                </w:tcPr>
                <w:p w14:paraId="7F08DCC6"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No. of hours</w:t>
                  </w:r>
                </w:p>
              </w:tc>
            </w:tr>
            <w:tr w:rsidR="00791834" w:rsidRPr="00D92326" w14:paraId="07B1481D" w14:textId="77777777" w:rsidTr="007C2734">
              <w:trPr>
                <w:trHeight w:val="332"/>
              </w:trPr>
              <w:tc>
                <w:tcPr>
                  <w:tcW w:w="7308" w:type="dxa"/>
                </w:tcPr>
                <w:p w14:paraId="3CEB118C"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Corporate Financing- Equity, Debt and Hybrid forms</w:t>
                  </w:r>
                </w:p>
              </w:tc>
              <w:tc>
                <w:tcPr>
                  <w:tcW w:w="1620" w:type="dxa"/>
                </w:tcPr>
                <w:p w14:paraId="210CEB72"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7EE7DA3D" w14:textId="77777777" w:rsidTr="007C2734">
              <w:trPr>
                <w:trHeight w:val="332"/>
              </w:trPr>
              <w:tc>
                <w:tcPr>
                  <w:tcW w:w="7308" w:type="dxa"/>
                </w:tcPr>
                <w:p w14:paraId="37282FE4"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Capital Asset Pricing Model and Arbitrage Pricing theory</w:t>
                  </w:r>
                </w:p>
              </w:tc>
              <w:tc>
                <w:tcPr>
                  <w:tcW w:w="1620" w:type="dxa"/>
                </w:tcPr>
                <w:p w14:paraId="1BC20FE1"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02DACFCD" w14:textId="77777777" w:rsidTr="007C2734">
              <w:trPr>
                <w:trHeight w:val="306"/>
              </w:trPr>
              <w:tc>
                <w:tcPr>
                  <w:tcW w:w="7308" w:type="dxa"/>
                </w:tcPr>
                <w:p w14:paraId="1FAC5C82"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 xml:space="preserve">Market Efficiency and arbitrage, Random Walk Theory </w:t>
                  </w:r>
                </w:p>
              </w:tc>
              <w:tc>
                <w:tcPr>
                  <w:tcW w:w="1620" w:type="dxa"/>
                </w:tcPr>
                <w:p w14:paraId="3265B4EE"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46EC91CD" w14:textId="77777777" w:rsidTr="007C2734">
              <w:trPr>
                <w:trHeight w:val="306"/>
              </w:trPr>
              <w:tc>
                <w:tcPr>
                  <w:tcW w:w="7308" w:type="dxa"/>
                </w:tcPr>
                <w:p w14:paraId="1F62ADF0"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Total</w:t>
                  </w:r>
                </w:p>
              </w:tc>
              <w:tc>
                <w:tcPr>
                  <w:tcW w:w="1620" w:type="dxa"/>
                </w:tcPr>
                <w:p w14:paraId="27B78817"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06</w:t>
                  </w:r>
                </w:p>
              </w:tc>
            </w:tr>
          </w:tbl>
          <w:p w14:paraId="7CA24F31"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b/>
                <w:sz w:val="24"/>
                <w:szCs w:val="24"/>
                <w:u w:val="single"/>
                <w:lang w:val="en-GB" w:eastAsia="en-GB"/>
              </w:rPr>
            </w:pPr>
            <w:r w:rsidRPr="00D92326">
              <w:rPr>
                <w:rFonts w:ascii="Times New Roman" w:eastAsia="Times New Roman" w:hAnsi="Times New Roman"/>
                <w:b/>
                <w:sz w:val="24"/>
                <w:szCs w:val="24"/>
                <w:u w:val="single"/>
                <w:lang w:val="en-GB" w:eastAsia="en-GB"/>
              </w:rPr>
              <w:t>Learning Outcomes:</w:t>
            </w:r>
          </w:p>
          <w:p w14:paraId="79C51650" w14:textId="77777777" w:rsidR="00791834" w:rsidRPr="00D92326" w:rsidRDefault="00791834" w:rsidP="00791834">
            <w:pPr>
              <w:pStyle w:val="NormalWeb"/>
              <w:numPr>
                <w:ilvl w:val="0"/>
                <w:numId w:val="7"/>
              </w:numPr>
              <w:spacing w:after="0"/>
              <w:jc w:val="both"/>
            </w:pPr>
            <w:r w:rsidRPr="00D92326">
              <w:t xml:space="preserve">Understand and critically evaluate alternative capital structure and capital management strategies. </w:t>
            </w:r>
          </w:p>
          <w:p w14:paraId="18F603A9" w14:textId="77777777" w:rsidR="00791834" w:rsidRPr="00D92326" w:rsidRDefault="00791834" w:rsidP="00791834">
            <w:pPr>
              <w:pStyle w:val="NormalWeb"/>
              <w:numPr>
                <w:ilvl w:val="0"/>
                <w:numId w:val="7"/>
              </w:numPr>
              <w:spacing w:after="0"/>
              <w:jc w:val="both"/>
            </w:pPr>
            <w:r w:rsidRPr="00D92326">
              <w:t>Learn about asset pricing models.</w:t>
            </w:r>
          </w:p>
          <w:p w14:paraId="30F722F7" w14:textId="77777777" w:rsidR="00791834" w:rsidRPr="00D92326" w:rsidRDefault="00791834" w:rsidP="00791834">
            <w:pPr>
              <w:pStyle w:val="NormalWeb"/>
              <w:numPr>
                <w:ilvl w:val="0"/>
                <w:numId w:val="7"/>
              </w:numPr>
              <w:spacing w:after="0"/>
              <w:jc w:val="both"/>
            </w:pPr>
            <w:r w:rsidRPr="00D92326">
              <w:t>Market efficiency and arbitrage Are markets efficient, or are they dominated by irrational investors? Are prices predictable?</w:t>
            </w:r>
          </w:p>
          <w:p w14:paraId="14053CE4" w14:textId="77777777" w:rsidR="00791834" w:rsidRPr="00D92326" w:rsidRDefault="00791834" w:rsidP="00791834">
            <w:pPr>
              <w:pStyle w:val="NormalWeb"/>
              <w:numPr>
                <w:ilvl w:val="0"/>
                <w:numId w:val="7"/>
              </w:numPr>
              <w:spacing w:after="0"/>
              <w:jc w:val="both"/>
            </w:pPr>
            <w:r w:rsidRPr="00D92326">
              <w:rPr>
                <w:rStyle w:val="t"/>
              </w:rPr>
              <w:t>Explain the factors affecting a market’s efficiency.</w:t>
            </w:r>
            <w:r w:rsidRPr="00D92326">
              <w:t xml:space="preserve"> </w:t>
            </w:r>
          </w:p>
          <w:p w14:paraId="27FDC488" w14:textId="77777777" w:rsidR="00791834" w:rsidRPr="00D92326" w:rsidRDefault="00791834" w:rsidP="00791834">
            <w:pPr>
              <w:pStyle w:val="NormalWeb"/>
              <w:numPr>
                <w:ilvl w:val="0"/>
                <w:numId w:val="7"/>
              </w:numPr>
              <w:spacing w:after="0"/>
              <w:jc w:val="both"/>
              <w:rPr>
                <w:rStyle w:val="t"/>
              </w:rPr>
            </w:pPr>
            <w:r w:rsidRPr="00D92326">
              <w:rPr>
                <w:rStyle w:val="t"/>
              </w:rPr>
              <w:t>Compare and contrast the weak-form, semi strong-form, and strong-form market</w:t>
            </w:r>
            <w:r w:rsidRPr="00D92326">
              <w:t xml:space="preserve"> </w:t>
            </w:r>
            <w:r w:rsidRPr="00D92326">
              <w:rPr>
                <w:rStyle w:val="t"/>
              </w:rPr>
              <w:t>efficiency.</w:t>
            </w:r>
          </w:p>
          <w:p w14:paraId="5D319FD9"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b/>
                <w:bCs/>
              </w:rPr>
              <w:t xml:space="preserve">Unit IV Leasing </w:t>
            </w:r>
          </w:p>
          <w:p w14:paraId="53CE2617" w14:textId="77777777" w:rsidR="00791834" w:rsidRPr="00D92326" w:rsidRDefault="00791834" w:rsidP="00791834">
            <w:pPr>
              <w:pStyle w:val="NormalWeb"/>
              <w:spacing w:after="0"/>
              <w:jc w:val="both"/>
              <w:rPr>
                <w:b/>
                <w:u w:val="single"/>
              </w:rPr>
            </w:pPr>
            <w:r w:rsidRPr="00D92326">
              <w:rPr>
                <w:b/>
                <w:u w:val="single"/>
              </w:rPr>
              <w:t>Introduction:</w:t>
            </w:r>
          </w:p>
          <w:p w14:paraId="26982D87" w14:textId="77777777" w:rsidR="00791834" w:rsidRPr="00D92326" w:rsidRDefault="00791834" w:rsidP="00791834">
            <w:pPr>
              <w:pStyle w:val="NormalWeb"/>
              <w:jc w:val="both"/>
            </w:pPr>
            <w:r w:rsidRPr="00D92326">
              <w:t xml:space="preserve">The acquisition of assets - particularly expensive capital equipment - is a major commitment for many businesses. How that acquisition is funded requires careful planning. Rather than pay for the asset outright using cash, it can often make sense for businesses to look for ways of spreading the cost of acquiring an asset, to coincide with the timing of the revenue generated by the business. </w:t>
            </w:r>
            <w:r w:rsidRPr="00D92326">
              <w:lastRenderedPageBreak/>
              <w:t>The most common sources of medium term finance for investment in capital assets are Hire Purchase and Leasing. Leasing and hire purchase are financial facilities which allow a business to use an asset over a fixed period, in return for regular payments. The business customer chooses the equipment it requires and the finance company buys it on behalf of the business.</w:t>
            </w:r>
          </w:p>
          <w:tbl>
            <w:tblPr>
              <w:tblStyle w:val="TableGrid"/>
              <w:tblW w:w="0" w:type="auto"/>
              <w:tblLayout w:type="fixed"/>
              <w:tblLook w:val="04A0" w:firstRow="1" w:lastRow="0" w:firstColumn="1" w:lastColumn="0" w:noHBand="0" w:noVBand="1"/>
            </w:tblPr>
            <w:tblGrid>
              <w:gridCol w:w="7308"/>
              <w:gridCol w:w="1620"/>
            </w:tblGrid>
            <w:tr w:rsidR="00791834" w:rsidRPr="00D92326" w14:paraId="2DBBA2E4" w14:textId="77777777" w:rsidTr="007C2734">
              <w:trPr>
                <w:trHeight w:val="294"/>
              </w:trPr>
              <w:tc>
                <w:tcPr>
                  <w:tcW w:w="7308" w:type="dxa"/>
                </w:tcPr>
                <w:p w14:paraId="37176078"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Topic</w:t>
                  </w:r>
                </w:p>
              </w:tc>
              <w:tc>
                <w:tcPr>
                  <w:tcW w:w="1620" w:type="dxa"/>
                </w:tcPr>
                <w:p w14:paraId="16DCBFED"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No. of hours</w:t>
                  </w:r>
                </w:p>
              </w:tc>
            </w:tr>
            <w:tr w:rsidR="00791834" w:rsidRPr="00D92326" w14:paraId="04D9DEFB" w14:textId="77777777" w:rsidTr="007C2734">
              <w:trPr>
                <w:trHeight w:val="332"/>
              </w:trPr>
              <w:tc>
                <w:tcPr>
                  <w:tcW w:w="7308" w:type="dxa"/>
                </w:tcPr>
                <w:p w14:paraId="1264DCB9"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Concepts and Types</w:t>
                  </w:r>
                </w:p>
              </w:tc>
              <w:tc>
                <w:tcPr>
                  <w:tcW w:w="1620" w:type="dxa"/>
                </w:tcPr>
                <w:p w14:paraId="42745B28"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611AE1BE" w14:textId="77777777" w:rsidTr="007C2734">
              <w:trPr>
                <w:trHeight w:val="332"/>
              </w:trPr>
              <w:tc>
                <w:tcPr>
                  <w:tcW w:w="7308" w:type="dxa"/>
                </w:tcPr>
                <w:p w14:paraId="354C07AB"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Lease Evaluation and Accounting</w:t>
                  </w:r>
                </w:p>
              </w:tc>
              <w:tc>
                <w:tcPr>
                  <w:tcW w:w="1620" w:type="dxa"/>
                </w:tcPr>
                <w:p w14:paraId="40CF05B6"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405EBF39" w14:textId="77777777" w:rsidTr="007C2734">
              <w:trPr>
                <w:trHeight w:val="306"/>
              </w:trPr>
              <w:tc>
                <w:tcPr>
                  <w:tcW w:w="7308" w:type="dxa"/>
                </w:tcPr>
                <w:p w14:paraId="5F5332ED"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Lease rentals and legal aspects</w:t>
                  </w:r>
                </w:p>
              </w:tc>
              <w:tc>
                <w:tcPr>
                  <w:tcW w:w="1620" w:type="dxa"/>
                </w:tcPr>
                <w:p w14:paraId="15D5A66F"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5D1040D1" w14:textId="77777777" w:rsidTr="007C2734">
              <w:trPr>
                <w:trHeight w:val="306"/>
              </w:trPr>
              <w:tc>
                <w:tcPr>
                  <w:tcW w:w="7308" w:type="dxa"/>
                </w:tcPr>
                <w:p w14:paraId="0DDAD1D1"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Total</w:t>
                  </w:r>
                </w:p>
              </w:tc>
              <w:tc>
                <w:tcPr>
                  <w:tcW w:w="1620" w:type="dxa"/>
                </w:tcPr>
                <w:p w14:paraId="1EAFE5D1"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06</w:t>
                  </w:r>
                </w:p>
              </w:tc>
            </w:tr>
          </w:tbl>
          <w:p w14:paraId="53936D1D"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b/>
                <w:sz w:val="24"/>
                <w:szCs w:val="24"/>
                <w:u w:val="single"/>
                <w:lang w:val="en-GB" w:eastAsia="en-GB"/>
              </w:rPr>
            </w:pPr>
            <w:r w:rsidRPr="00D92326">
              <w:rPr>
                <w:rFonts w:ascii="Times New Roman" w:eastAsia="Times New Roman" w:hAnsi="Times New Roman"/>
                <w:b/>
                <w:sz w:val="24"/>
                <w:szCs w:val="24"/>
                <w:u w:val="single"/>
                <w:lang w:val="en-GB" w:eastAsia="en-GB"/>
              </w:rPr>
              <w:t>Learning Outcomes:</w:t>
            </w:r>
          </w:p>
          <w:p w14:paraId="59CDCD8C" w14:textId="77777777" w:rsidR="00791834" w:rsidRPr="00D92326" w:rsidRDefault="00791834" w:rsidP="00791834">
            <w:pPr>
              <w:pStyle w:val="NormalWeb"/>
              <w:numPr>
                <w:ilvl w:val="0"/>
                <w:numId w:val="8"/>
              </w:numPr>
              <w:jc w:val="both"/>
              <w:rPr>
                <w:rStyle w:val="tr"/>
              </w:rPr>
            </w:pPr>
            <w:r w:rsidRPr="00D92326">
              <w:rPr>
                <w:rStyle w:val="tr"/>
              </w:rPr>
              <w:t>To identify and describe the operational, financial, and tax objectives that motivate leasing.</w:t>
            </w:r>
          </w:p>
          <w:p w14:paraId="47534FCC" w14:textId="77777777" w:rsidR="00791834" w:rsidRPr="00D92326" w:rsidRDefault="00791834" w:rsidP="00791834">
            <w:pPr>
              <w:pStyle w:val="NormalWeb"/>
              <w:numPr>
                <w:ilvl w:val="0"/>
                <w:numId w:val="8"/>
              </w:numPr>
              <w:jc w:val="both"/>
            </w:pPr>
            <w:r w:rsidRPr="00D92326">
              <w:rPr>
                <w:rStyle w:val="tr"/>
              </w:rPr>
              <w:t>To explain why some leases constitute lease agreements and some represent purchases/sales accompanied by debt financing.</w:t>
            </w:r>
            <w:r w:rsidRPr="00D92326">
              <w:t xml:space="preserve"> </w:t>
            </w:r>
          </w:p>
          <w:p w14:paraId="62291A14" w14:textId="77777777" w:rsidR="00791834" w:rsidRPr="00D92326" w:rsidRDefault="00791834" w:rsidP="00791834">
            <w:pPr>
              <w:pStyle w:val="NormalWeb"/>
              <w:numPr>
                <w:ilvl w:val="0"/>
                <w:numId w:val="8"/>
              </w:numPr>
              <w:jc w:val="both"/>
            </w:pPr>
            <w:r w:rsidRPr="00D92326">
              <w:t>Steps in conducting lease transactions.</w:t>
            </w:r>
          </w:p>
          <w:p w14:paraId="5DDA4A5B" w14:textId="77777777" w:rsidR="00791834" w:rsidRPr="00D92326" w:rsidRDefault="00791834" w:rsidP="00791834">
            <w:pPr>
              <w:pStyle w:val="NormalWeb"/>
              <w:numPr>
                <w:ilvl w:val="0"/>
                <w:numId w:val="8"/>
              </w:numPr>
              <w:jc w:val="both"/>
            </w:pPr>
            <w:r w:rsidRPr="00D92326">
              <w:t>To know what are the tax benefits for lessor and lessee.</w:t>
            </w:r>
          </w:p>
          <w:p w14:paraId="1A635DC7" w14:textId="77777777" w:rsidR="00791834" w:rsidRPr="00D92326" w:rsidRDefault="00791834" w:rsidP="00791834">
            <w:pPr>
              <w:pStyle w:val="NormalWeb"/>
              <w:numPr>
                <w:ilvl w:val="0"/>
                <w:numId w:val="8"/>
              </w:numPr>
              <w:jc w:val="both"/>
            </w:pPr>
            <w:r w:rsidRPr="00D92326">
              <w:rPr>
                <w:rStyle w:val="tr"/>
              </w:rPr>
              <w:t>To explain the basis for each of the criteria and conditions used to classify leases.</w:t>
            </w:r>
            <w:r w:rsidRPr="00D92326">
              <w:t xml:space="preserve"> </w:t>
            </w:r>
          </w:p>
          <w:p w14:paraId="7111512A" w14:textId="77777777" w:rsidR="00791834" w:rsidRPr="00D92326" w:rsidRDefault="00791834" w:rsidP="00791834">
            <w:pPr>
              <w:pStyle w:val="NormalWeb"/>
              <w:numPr>
                <w:ilvl w:val="0"/>
                <w:numId w:val="8"/>
              </w:numPr>
              <w:spacing w:after="0"/>
              <w:jc w:val="both"/>
              <w:rPr>
                <w:rStyle w:val="tr"/>
              </w:rPr>
            </w:pPr>
            <w:r w:rsidRPr="00D92326">
              <w:rPr>
                <w:rStyle w:val="tr"/>
              </w:rPr>
              <w:t>To describe and demonstrate how both the lessee and lessor account for a capital lease.</w:t>
            </w:r>
          </w:p>
          <w:p w14:paraId="4063A91A"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b/>
                <w:bCs/>
              </w:rPr>
              <w:t xml:space="preserve">Unit V Mergers And Amalgamation </w:t>
            </w:r>
          </w:p>
          <w:p w14:paraId="4A5B1333" w14:textId="77777777" w:rsidR="00791834" w:rsidRPr="00D92326" w:rsidRDefault="00791834" w:rsidP="00791834">
            <w:pPr>
              <w:pStyle w:val="NormalWeb"/>
              <w:spacing w:after="0"/>
              <w:jc w:val="both"/>
              <w:rPr>
                <w:b/>
                <w:u w:val="single"/>
              </w:rPr>
            </w:pPr>
            <w:r w:rsidRPr="00D92326">
              <w:rPr>
                <w:b/>
                <w:u w:val="single"/>
              </w:rPr>
              <w:t>Introduction:</w:t>
            </w:r>
          </w:p>
          <w:p w14:paraId="22FC73AE" w14:textId="77777777" w:rsidR="00791834" w:rsidRPr="00D92326" w:rsidRDefault="00791834" w:rsidP="00791834">
            <w:pPr>
              <w:spacing w:after="0"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Following the economic reforms in India in the post – 1991 period, there is a discernible trends among promoters and established corporate groups towards consolidation of market</w:t>
            </w:r>
          </w:p>
          <w:p w14:paraId="49EEA01E" w14:textId="77777777" w:rsidR="00791834" w:rsidRPr="00D92326" w:rsidRDefault="00791834" w:rsidP="00791834">
            <w:pPr>
              <w:spacing w:after="0"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share and diversification into new areas through acquisition /takeover of companies but in a more pronounced manner through mergers / amalgamations. Although the economic</w:t>
            </w:r>
          </w:p>
          <w:p w14:paraId="62818ACB" w14:textId="7BE146FB" w:rsidR="00791834" w:rsidRPr="00D92326" w:rsidRDefault="00791834" w:rsidP="00791834">
            <w:pPr>
              <w:spacing w:after="0"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considerations in terms of motive and effect of these are similar, the legal procedures involved are different. The merger and amalgamation of corporate constitutes a subject matter of the Companies Act, the courts and law and there are well-laid down procedures for valuation of shares and rights of investors. The acquisition/ takeover bids fall under the purview of SEBI. The terms mergers and amalgamations on the one hand and acquisitions and takeovers on the other are treated here synonymously/ interchangeably.</w:t>
            </w:r>
          </w:p>
          <w:p w14:paraId="0C6CFE34" w14:textId="77777777" w:rsidR="00D92326" w:rsidRPr="00D92326" w:rsidRDefault="00D92326" w:rsidP="00791834">
            <w:pPr>
              <w:spacing w:after="0" w:line="240" w:lineRule="auto"/>
              <w:jc w:val="both"/>
              <w:rPr>
                <w:rFonts w:ascii="Times New Roman" w:eastAsia="Times New Roman" w:hAnsi="Times New Roman"/>
                <w:sz w:val="24"/>
                <w:szCs w:val="24"/>
                <w:lang w:val="en-GB" w:eastAsia="en-GB"/>
              </w:rPr>
            </w:pPr>
          </w:p>
          <w:tbl>
            <w:tblPr>
              <w:tblStyle w:val="TableGrid"/>
              <w:tblW w:w="0" w:type="auto"/>
              <w:tblLayout w:type="fixed"/>
              <w:tblLook w:val="04A0" w:firstRow="1" w:lastRow="0" w:firstColumn="1" w:lastColumn="0" w:noHBand="0" w:noVBand="1"/>
            </w:tblPr>
            <w:tblGrid>
              <w:gridCol w:w="7308"/>
              <w:gridCol w:w="1620"/>
            </w:tblGrid>
            <w:tr w:rsidR="00791834" w:rsidRPr="00D92326" w14:paraId="314B47EE" w14:textId="77777777" w:rsidTr="007C2734">
              <w:trPr>
                <w:trHeight w:val="294"/>
              </w:trPr>
              <w:tc>
                <w:tcPr>
                  <w:tcW w:w="7308" w:type="dxa"/>
                </w:tcPr>
                <w:p w14:paraId="0F26ABEE"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Topic</w:t>
                  </w:r>
                </w:p>
              </w:tc>
              <w:tc>
                <w:tcPr>
                  <w:tcW w:w="1620" w:type="dxa"/>
                </w:tcPr>
                <w:p w14:paraId="599E846E"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No. of hours</w:t>
                  </w:r>
                </w:p>
              </w:tc>
            </w:tr>
            <w:tr w:rsidR="00791834" w:rsidRPr="00D92326" w14:paraId="3BD0FF89" w14:textId="77777777" w:rsidTr="007C2734">
              <w:trPr>
                <w:trHeight w:val="332"/>
              </w:trPr>
              <w:tc>
                <w:tcPr>
                  <w:tcW w:w="7308" w:type="dxa"/>
                </w:tcPr>
                <w:p w14:paraId="30133261" w14:textId="1F3D4F85"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Merger as a Strategy and SEBI Guidelines in M&amp;A</w:t>
                  </w:r>
                </w:p>
              </w:tc>
              <w:tc>
                <w:tcPr>
                  <w:tcW w:w="1620" w:type="dxa"/>
                </w:tcPr>
                <w:p w14:paraId="6B808090"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44E4734B" w14:textId="77777777" w:rsidTr="007C2734">
              <w:trPr>
                <w:trHeight w:val="332"/>
              </w:trPr>
              <w:tc>
                <w:tcPr>
                  <w:tcW w:w="7308" w:type="dxa"/>
                </w:tcPr>
                <w:p w14:paraId="5BE801E9"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Corporate Tax Planning and Amalgamation</w:t>
                  </w:r>
                </w:p>
              </w:tc>
              <w:tc>
                <w:tcPr>
                  <w:tcW w:w="1620" w:type="dxa"/>
                </w:tcPr>
                <w:p w14:paraId="6E9E2AFF"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5477CAAF" w14:textId="77777777" w:rsidTr="007C2734">
              <w:trPr>
                <w:trHeight w:val="306"/>
              </w:trPr>
              <w:tc>
                <w:tcPr>
                  <w:tcW w:w="7308" w:type="dxa"/>
                </w:tcPr>
                <w:p w14:paraId="0B27EB6D" w14:textId="0B084E69"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 xml:space="preserve">Corporate Sickness and Revival and BIFR Provisions </w:t>
                  </w:r>
                </w:p>
              </w:tc>
              <w:tc>
                <w:tcPr>
                  <w:tcW w:w="1620" w:type="dxa"/>
                </w:tcPr>
                <w:p w14:paraId="157F6CA6" w14:textId="77777777" w:rsidR="00791834" w:rsidRPr="00D92326" w:rsidRDefault="00791834" w:rsidP="00791834">
                  <w:pPr>
                    <w:pStyle w:val="Default"/>
                    <w:jc w:val="both"/>
                    <w:rPr>
                      <w:rFonts w:ascii="Times New Roman" w:hAnsi="Times New Roman" w:cs="Times New Roman"/>
                    </w:rPr>
                  </w:pPr>
                  <w:r w:rsidRPr="00D92326">
                    <w:rPr>
                      <w:rFonts w:ascii="Times New Roman" w:hAnsi="Times New Roman" w:cs="Times New Roman"/>
                    </w:rPr>
                    <w:t>2</w:t>
                  </w:r>
                </w:p>
              </w:tc>
            </w:tr>
            <w:tr w:rsidR="00791834" w:rsidRPr="00D92326" w14:paraId="586B3CB8" w14:textId="77777777" w:rsidTr="007C2734">
              <w:trPr>
                <w:trHeight w:val="306"/>
              </w:trPr>
              <w:tc>
                <w:tcPr>
                  <w:tcW w:w="7308" w:type="dxa"/>
                </w:tcPr>
                <w:p w14:paraId="12A78620"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Total</w:t>
                  </w:r>
                </w:p>
              </w:tc>
              <w:tc>
                <w:tcPr>
                  <w:tcW w:w="1620" w:type="dxa"/>
                </w:tcPr>
                <w:p w14:paraId="3FD13857" w14:textId="77777777" w:rsidR="00791834" w:rsidRPr="00D92326" w:rsidRDefault="00791834" w:rsidP="00791834">
                  <w:pPr>
                    <w:pStyle w:val="Default"/>
                    <w:jc w:val="both"/>
                    <w:rPr>
                      <w:rFonts w:ascii="Times New Roman" w:hAnsi="Times New Roman" w:cs="Times New Roman"/>
                      <w:b/>
                    </w:rPr>
                  </w:pPr>
                  <w:r w:rsidRPr="00D92326">
                    <w:rPr>
                      <w:rFonts w:ascii="Times New Roman" w:hAnsi="Times New Roman" w:cs="Times New Roman"/>
                      <w:b/>
                    </w:rPr>
                    <w:t>06</w:t>
                  </w:r>
                </w:p>
              </w:tc>
            </w:tr>
          </w:tbl>
          <w:p w14:paraId="250533E4" w14:textId="77777777" w:rsidR="00791834" w:rsidRPr="00D92326" w:rsidRDefault="00791834" w:rsidP="00791834">
            <w:pPr>
              <w:spacing w:before="100" w:beforeAutospacing="1" w:after="100" w:afterAutospacing="1" w:line="240" w:lineRule="auto"/>
              <w:jc w:val="both"/>
              <w:rPr>
                <w:rFonts w:ascii="Times New Roman" w:eastAsia="Times New Roman" w:hAnsi="Times New Roman"/>
                <w:b/>
                <w:sz w:val="24"/>
                <w:szCs w:val="24"/>
                <w:u w:val="single"/>
                <w:lang w:val="en-GB" w:eastAsia="en-GB"/>
              </w:rPr>
            </w:pPr>
            <w:r w:rsidRPr="00D92326">
              <w:rPr>
                <w:rFonts w:ascii="Times New Roman" w:eastAsia="Times New Roman" w:hAnsi="Times New Roman"/>
                <w:b/>
                <w:sz w:val="24"/>
                <w:szCs w:val="24"/>
                <w:u w:val="single"/>
                <w:lang w:val="en-GB" w:eastAsia="en-GB"/>
              </w:rPr>
              <w:t>Learning Outcomes:</w:t>
            </w:r>
          </w:p>
          <w:p w14:paraId="53A46B86" w14:textId="77777777" w:rsidR="00791834" w:rsidRPr="00D92326" w:rsidRDefault="00791834" w:rsidP="00791834">
            <w:pPr>
              <w:pStyle w:val="ListParagraph"/>
              <w:numPr>
                <w:ilvl w:val="0"/>
                <w:numId w:val="9"/>
              </w:numPr>
              <w:spacing w:after="0"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lastRenderedPageBreak/>
              <w:t>To understand the process of terms mergers and amalgamation.</w:t>
            </w:r>
          </w:p>
          <w:p w14:paraId="65BDC846" w14:textId="77777777" w:rsidR="00791834" w:rsidRPr="00D92326" w:rsidRDefault="00791834" w:rsidP="00791834">
            <w:pPr>
              <w:pStyle w:val="ListParagraph"/>
              <w:numPr>
                <w:ilvl w:val="0"/>
                <w:numId w:val="9"/>
              </w:numPr>
              <w:spacing w:after="0" w:line="240" w:lineRule="auto"/>
              <w:jc w:val="both"/>
              <w:rPr>
                <w:rFonts w:ascii="Times New Roman" w:eastAsia="Times New Roman" w:hAnsi="Times New Roman"/>
                <w:sz w:val="24"/>
                <w:szCs w:val="24"/>
                <w:lang w:val="en-GB" w:eastAsia="en-GB"/>
              </w:rPr>
            </w:pPr>
            <w:r w:rsidRPr="00D92326">
              <w:rPr>
                <w:rFonts w:ascii="Times New Roman" w:eastAsia="Times New Roman" w:hAnsi="Times New Roman"/>
                <w:sz w:val="24"/>
                <w:szCs w:val="24"/>
                <w:lang w:val="en-GB" w:eastAsia="en-GB"/>
              </w:rPr>
              <w:t>Distinguish between the concept of Amalgamation in Nature of Merger and Amalgamation in the Nature of Purchase.</w:t>
            </w:r>
          </w:p>
          <w:p w14:paraId="3CB9020B" w14:textId="77777777" w:rsidR="00791834" w:rsidRPr="00D92326" w:rsidRDefault="00791834" w:rsidP="00791834">
            <w:pPr>
              <w:pStyle w:val="NormalWeb"/>
              <w:numPr>
                <w:ilvl w:val="0"/>
                <w:numId w:val="9"/>
              </w:numPr>
              <w:jc w:val="both"/>
            </w:pPr>
            <w:r w:rsidRPr="00D92326">
              <w:t>Government and SEBI regulations related to M&amp;A activity.</w:t>
            </w:r>
          </w:p>
          <w:p w14:paraId="209026F5" w14:textId="77777777" w:rsidR="00791834" w:rsidRPr="00D92326" w:rsidRDefault="00791834" w:rsidP="00791834">
            <w:pPr>
              <w:pStyle w:val="NormalWeb"/>
              <w:numPr>
                <w:ilvl w:val="0"/>
                <w:numId w:val="9"/>
              </w:numPr>
              <w:jc w:val="both"/>
            </w:pPr>
            <w:r w:rsidRPr="00D92326">
              <w:t>Steps in Merger and acquisition activity.</w:t>
            </w:r>
          </w:p>
          <w:p w14:paraId="55333901" w14:textId="77777777" w:rsidR="00791834" w:rsidRPr="00D92326" w:rsidRDefault="00791834" w:rsidP="00791834">
            <w:pPr>
              <w:pStyle w:val="NormalWeb"/>
              <w:numPr>
                <w:ilvl w:val="0"/>
                <w:numId w:val="9"/>
              </w:numPr>
              <w:jc w:val="both"/>
            </w:pPr>
            <w:r w:rsidRPr="00D92326">
              <w:t>Tax benefits in M&amp;A.</w:t>
            </w:r>
          </w:p>
          <w:p w14:paraId="291EB774" w14:textId="77777777" w:rsidR="00791834" w:rsidRPr="00D92326" w:rsidRDefault="00791834" w:rsidP="00791834">
            <w:pPr>
              <w:pStyle w:val="NormalWeb"/>
              <w:numPr>
                <w:ilvl w:val="0"/>
                <w:numId w:val="9"/>
              </w:numPr>
              <w:jc w:val="both"/>
            </w:pPr>
            <w:r w:rsidRPr="00D92326">
              <w:t>To learn about the types of challenges in M&amp;A activity.</w:t>
            </w:r>
          </w:p>
          <w:p w14:paraId="1A7099AF" w14:textId="77777777" w:rsidR="00791834" w:rsidRPr="00D92326" w:rsidRDefault="00791834" w:rsidP="00791834">
            <w:pPr>
              <w:pStyle w:val="NormalWeb"/>
              <w:numPr>
                <w:ilvl w:val="0"/>
                <w:numId w:val="9"/>
              </w:numPr>
              <w:jc w:val="both"/>
            </w:pPr>
            <w:r w:rsidRPr="00D92326">
              <w:t>What is corporate sickness under SICA? What are the ways company can recover from financial distress? What are BIFR provisions?</w:t>
            </w:r>
          </w:p>
          <w:p w14:paraId="3CA3E173" w14:textId="77777777" w:rsidR="00791834" w:rsidRPr="00D92326" w:rsidRDefault="00791834" w:rsidP="007243BF">
            <w:pPr>
              <w:spacing w:after="0" w:line="240" w:lineRule="auto"/>
              <w:jc w:val="both"/>
              <w:rPr>
                <w:rFonts w:ascii="Times New Roman" w:hAnsi="Times New Roman"/>
                <w:b/>
                <w:noProof/>
                <w:sz w:val="24"/>
                <w:szCs w:val="24"/>
              </w:rPr>
            </w:pPr>
          </w:p>
          <w:p w14:paraId="619D04EE" w14:textId="1B91C0AF" w:rsidR="00791834" w:rsidRPr="00D92326" w:rsidRDefault="00791834" w:rsidP="007243BF">
            <w:pPr>
              <w:spacing w:after="0" w:line="240" w:lineRule="auto"/>
              <w:jc w:val="both"/>
              <w:rPr>
                <w:rFonts w:ascii="Times New Roman" w:hAnsi="Times New Roman"/>
                <w:b/>
                <w:noProof/>
                <w:sz w:val="24"/>
                <w:szCs w:val="24"/>
              </w:rPr>
            </w:pPr>
          </w:p>
        </w:tc>
      </w:tr>
      <w:tr w:rsidR="007C321B" w:rsidRPr="00D92326" w14:paraId="307A61CD" w14:textId="77777777" w:rsidTr="00D92326">
        <w:trPr>
          <w:trHeight w:val="70"/>
          <w:jc w:val="center"/>
        </w:trPr>
        <w:tc>
          <w:tcPr>
            <w:tcW w:w="9634" w:type="dxa"/>
          </w:tcPr>
          <w:p w14:paraId="27CCED03" w14:textId="2AD058C0" w:rsidR="007C321B" w:rsidRPr="00D92326" w:rsidRDefault="007C321B" w:rsidP="007243BF">
            <w:pPr>
              <w:autoSpaceDE w:val="0"/>
              <w:autoSpaceDN w:val="0"/>
              <w:adjustRightInd w:val="0"/>
              <w:spacing w:after="0" w:line="240" w:lineRule="auto"/>
              <w:rPr>
                <w:rFonts w:ascii="Times New Roman" w:eastAsiaTheme="minorHAnsi" w:hAnsi="Times New Roman"/>
                <w:b/>
                <w:bCs/>
                <w:color w:val="000000"/>
                <w:sz w:val="24"/>
                <w:szCs w:val="24"/>
              </w:rPr>
            </w:pPr>
            <w:r w:rsidRPr="00D92326">
              <w:rPr>
                <w:rFonts w:ascii="Times New Roman" w:eastAsiaTheme="minorHAnsi" w:hAnsi="Times New Roman"/>
                <w:b/>
                <w:bCs/>
                <w:color w:val="000000"/>
                <w:sz w:val="24"/>
                <w:szCs w:val="24"/>
              </w:rPr>
              <w:lastRenderedPageBreak/>
              <w:t xml:space="preserve">TEXT / REFERENCES: </w:t>
            </w:r>
          </w:p>
          <w:p w14:paraId="39F3F55C" w14:textId="2E718E3A" w:rsidR="00D73F2D" w:rsidRPr="00D92326" w:rsidRDefault="00D73F2D" w:rsidP="00D73F2D">
            <w:pPr>
              <w:pStyle w:val="Default"/>
              <w:jc w:val="both"/>
              <w:rPr>
                <w:rFonts w:ascii="Times New Roman" w:hAnsi="Times New Roman" w:cs="Times New Roman"/>
              </w:rPr>
            </w:pPr>
          </w:p>
          <w:p w14:paraId="5F18A71B" w14:textId="05F4E68C" w:rsidR="00D73F2D" w:rsidRPr="00D92326" w:rsidRDefault="00D73F2D" w:rsidP="00D73F2D">
            <w:pPr>
              <w:pStyle w:val="Default"/>
              <w:jc w:val="both"/>
              <w:rPr>
                <w:rFonts w:ascii="Times New Roman" w:hAnsi="Times New Roman" w:cs="Times New Roman"/>
              </w:rPr>
            </w:pPr>
            <w:r w:rsidRPr="00D92326">
              <w:rPr>
                <w:rFonts w:ascii="Times New Roman" w:hAnsi="Times New Roman" w:cs="Times New Roman"/>
              </w:rPr>
              <w:t xml:space="preserve">1. Copeland, E. Thomas, Weston, </w:t>
            </w:r>
            <w:proofErr w:type="spellStart"/>
            <w:r w:rsidRPr="00D92326">
              <w:rPr>
                <w:rFonts w:ascii="Times New Roman" w:hAnsi="Times New Roman" w:cs="Times New Roman"/>
              </w:rPr>
              <w:t>J.Fred</w:t>
            </w:r>
            <w:proofErr w:type="spellEnd"/>
            <w:r w:rsidRPr="00D92326">
              <w:rPr>
                <w:rFonts w:ascii="Times New Roman" w:hAnsi="Times New Roman" w:cs="Times New Roman"/>
              </w:rPr>
              <w:t xml:space="preserve">. and Shastri, Kuldeep, “Financial Theory and Corporate Policy”, Addison Wesley, 4th Edition, 2003 </w:t>
            </w:r>
          </w:p>
          <w:p w14:paraId="49700BF9" w14:textId="4C0C10FF" w:rsidR="00791834" w:rsidRPr="00D92326" w:rsidRDefault="00D73F2D" w:rsidP="00D73F2D">
            <w:pPr>
              <w:pStyle w:val="Default"/>
              <w:jc w:val="both"/>
              <w:rPr>
                <w:rFonts w:ascii="Times New Roman" w:hAnsi="Times New Roman" w:cs="Times New Roman"/>
              </w:rPr>
            </w:pPr>
            <w:r w:rsidRPr="00D92326">
              <w:rPr>
                <w:rFonts w:ascii="Times New Roman" w:hAnsi="Times New Roman" w:cs="Times New Roman"/>
              </w:rPr>
              <w:t xml:space="preserve">2. </w:t>
            </w:r>
            <w:proofErr w:type="spellStart"/>
            <w:r w:rsidRPr="00D92326">
              <w:rPr>
                <w:rFonts w:ascii="Times New Roman" w:hAnsi="Times New Roman" w:cs="Times New Roman"/>
              </w:rPr>
              <w:t>Pandey.I.M</w:t>
            </w:r>
            <w:proofErr w:type="spellEnd"/>
            <w:r w:rsidRPr="00D92326">
              <w:rPr>
                <w:rFonts w:ascii="Times New Roman" w:hAnsi="Times New Roman" w:cs="Times New Roman"/>
              </w:rPr>
              <w:t xml:space="preserve">. “Financial Management “Vikas Publishing House Pvt. Ltd. 9th Edition, 2005 </w:t>
            </w:r>
          </w:p>
          <w:p w14:paraId="1B495692" w14:textId="02E78E55" w:rsidR="00D73F2D" w:rsidRPr="00D92326" w:rsidRDefault="00791834" w:rsidP="00D73F2D">
            <w:pPr>
              <w:pStyle w:val="Default"/>
              <w:jc w:val="both"/>
              <w:rPr>
                <w:rFonts w:ascii="Times New Roman" w:hAnsi="Times New Roman" w:cs="Times New Roman"/>
              </w:rPr>
            </w:pPr>
            <w:r w:rsidRPr="00D92326">
              <w:rPr>
                <w:rFonts w:ascii="Times New Roman" w:hAnsi="Times New Roman" w:cs="Times New Roman"/>
              </w:rPr>
              <w:t>3</w:t>
            </w:r>
            <w:r w:rsidR="00D73F2D" w:rsidRPr="00D92326">
              <w:rPr>
                <w:rFonts w:ascii="Times New Roman" w:hAnsi="Times New Roman" w:cs="Times New Roman"/>
              </w:rPr>
              <w:t xml:space="preserve">. Richard A. Brealey and Stewart C. Myers,” Principles of Corporate Finance”, 7th Edition, 2003/e </w:t>
            </w:r>
          </w:p>
          <w:p w14:paraId="74C12376" w14:textId="678AE94A" w:rsidR="007C321B" w:rsidRPr="00D92326" w:rsidRDefault="007C321B" w:rsidP="00D73F2D">
            <w:pPr>
              <w:autoSpaceDE w:val="0"/>
              <w:autoSpaceDN w:val="0"/>
              <w:adjustRightInd w:val="0"/>
              <w:spacing w:after="27" w:line="240" w:lineRule="auto"/>
              <w:rPr>
                <w:rFonts w:ascii="Times New Roman" w:hAnsi="Times New Roman"/>
                <w:b/>
                <w:sz w:val="24"/>
                <w:szCs w:val="24"/>
              </w:rPr>
            </w:pPr>
          </w:p>
        </w:tc>
      </w:tr>
      <w:tr w:rsidR="007C321B" w:rsidRPr="00D92326" w14:paraId="2E31653E" w14:textId="77777777" w:rsidTr="00D92326">
        <w:trPr>
          <w:trHeight w:val="70"/>
          <w:jc w:val="center"/>
        </w:trPr>
        <w:tc>
          <w:tcPr>
            <w:tcW w:w="9634" w:type="dxa"/>
            <w:shd w:val="clear" w:color="auto" w:fill="FFFFFF"/>
          </w:tcPr>
          <w:p w14:paraId="5F573F72" w14:textId="77777777" w:rsidR="007C321B" w:rsidRPr="00D92326"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p>
          <w:p w14:paraId="3129DDDE" w14:textId="77777777" w:rsidR="007C321B" w:rsidRPr="00D92326"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r w:rsidRPr="00D92326">
              <w:rPr>
                <w:rFonts w:ascii="Times New Roman" w:hAnsi="Times New Roman"/>
                <w:b/>
                <w:sz w:val="24"/>
                <w:szCs w:val="24"/>
              </w:rPr>
              <w:t>ADDITIONAL INFORMATION</w:t>
            </w:r>
          </w:p>
        </w:tc>
      </w:tr>
      <w:tr w:rsidR="007C321B" w:rsidRPr="00D92326" w14:paraId="0112B88A" w14:textId="77777777" w:rsidTr="00D92326">
        <w:trPr>
          <w:trHeight w:val="70"/>
          <w:jc w:val="center"/>
        </w:trPr>
        <w:tc>
          <w:tcPr>
            <w:tcW w:w="9634" w:type="dxa"/>
            <w:shd w:val="clear" w:color="auto" w:fill="FFFFFF"/>
          </w:tcPr>
          <w:p w14:paraId="3805BBF6" w14:textId="77777777" w:rsidR="007C321B" w:rsidRPr="00D92326"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p>
          <w:p w14:paraId="4F08AE4C" w14:textId="77777777" w:rsidR="007C321B" w:rsidRPr="00D92326" w:rsidRDefault="007C321B" w:rsidP="007C321B">
            <w:pPr>
              <w:pStyle w:val="Default"/>
              <w:widowControl/>
              <w:numPr>
                <w:ilvl w:val="0"/>
                <w:numId w:val="2"/>
              </w:numPr>
              <w:jc w:val="both"/>
              <w:rPr>
                <w:rFonts w:ascii="Times New Roman" w:hAnsi="Times New Roman" w:cs="Times New Roman"/>
              </w:rPr>
            </w:pPr>
            <w:r w:rsidRPr="00D92326">
              <w:rPr>
                <w:rFonts w:ascii="Times New Roman" w:hAnsi="Times New Roman" w:cs="Times New Roman"/>
              </w:rPr>
              <w:t>The students can get their doubts clarified at any time with their faculty member with prior appointment.</w:t>
            </w:r>
          </w:p>
          <w:p w14:paraId="1B1382F6" w14:textId="422622A6" w:rsidR="007C321B" w:rsidRPr="00D92326" w:rsidRDefault="007C321B" w:rsidP="007C321B">
            <w:pPr>
              <w:pStyle w:val="Default"/>
              <w:widowControl/>
              <w:numPr>
                <w:ilvl w:val="0"/>
                <w:numId w:val="2"/>
              </w:numPr>
              <w:jc w:val="both"/>
              <w:rPr>
                <w:rFonts w:ascii="Times New Roman" w:hAnsi="Times New Roman" w:cs="Times New Roman"/>
                <w:b/>
              </w:rPr>
            </w:pPr>
            <w:r w:rsidRPr="00D92326">
              <w:rPr>
                <w:rFonts w:ascii="Times New Roman" w:hAnsi="Times New Roman" w:cs="Times New Roman"/>
              </w:rPr>
              <w:t>Excel induction workshop date will be intimated based on expert availability</w:t>
            </w:r>
          </w:p>
          <w:p w14:paraId="5693D9AD" w14:textId="77777777" w:rsidR="007C321B" w:rsidRPr="00D92326"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p>
        </w:tc>
      </w:tr>
      <w:tr w:rsidR="007C321B" w:rsidRPr="00D92326" w14:paraId="5A96F9F7" w14:textId="77777777" w:rsidTr="00D92326">
        <w:trPr>
          <w:jc w:val="center"/>
        </w:trPr>
        <w:tc>
          <w:tcPr>
            <w:tcW w:w="9634" w:type="dxa"/>
            <w:shd w:val="clear" w:color="auto" w:fill="AEAAAA" w:themeFill="background2" w:themeFillShade="BF"/>
          </w:tcPr>
          <w:p w14:paraId="463E2ED2" w14:textId="77777777"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FOR APPROVAL</w:t>
            </w:r>
          </w:p>
        </w:tc>
      </w:tr>
      <w:tr w:rsidR="007C321B" w:rsidRPr="00D92326" w14:paraId="7C952ED6" w14:textId="77777777" w:rsidTr="00D92326">
        <w:trPr>
          <w:trHeight w:val="1070"/>
          <w:jc w:val="center"/>
        </w:trPr>
        <w:tc>
          <w:tcPr>
            <w:tcW w:w="9634" w:type="dxa"/>
          </w:tcPr>
          <w:p w14:paraId="6D006F90" w14:textId="77777777" w:rsidR="007C321B" w:rsidRPr="00D92326" w:rsidRDefault="007C321B" w:rsidP="007243BF">
            <w:pPr>
              <w:spacing w:after="0" w:line="240" w:lineRule="auto"/>
              <w:jc w:val="both"/>
              <w:rPr>
                <w:rFonts w:ascii="Times New Roman" w:hAnsi="Times New Roman"/>
                <w:b/>
                <w:sz w:val="24"/>
                <w:szCs w:val="24"/>
              </w:rPr>
            </w:pPr>
          </w:p>
          <w:p w14:paraId="44C4EAA9" w14:textId="77777777" w:rsidR="007C321B" w:rsidRPr="00D92326" w:rsidRDefault="007C321B" w:rsidP="007243BF">
            <w:pPr>
              <w:spacing w:after="0" w:line="240" w:lineRule="auto"/>
              <w:jc w:val="both"/>
              <w:rPr>
                <w:rFonts w:ascii="Times New Roman" w:hAnsi="Times New Roman"/>
                <w:b/>
                <w:sz w:val="24"/>
                <w:szCs w:val="24"/>
              </w:rPr>
            </w:pPr>
          </w:p>
          <w:p w14:paraId="516B3F44" w14:textId="77777777" w:rsidR="007C321B" w:rsidRPr="00D92326" w:rsidRDefault="007C321B" w:rsidP="007243BF">
            <w:pPr>
              <w:spacing w:after="0" w:line="240" w:lineRule="auto"/>
              <w:jc w:val="both"/>
              <w:rPr>
                <w:rFonts w:ascii="Times New Roman" w:hAnsi="Times New Roman"/>
                <w:b/>
                <w:sz w:val="24"/>
                <w:szCs w:val="24"/>
              </w:rPr>
            </w:pPr>
          </w:p>
          <w:p w14:paraId="1A6706CC" w14:textId="77777777" w:rsidR="007C321B" w:rsidRPr="00D92326" w:rsidRDefault="007C321B" w:rsidP="007243BF">
            <w:pPr>
              <w:spacing w:after="0" w:line="240" w:lineRule="auto"/>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2"/>
              <w:gridCol w:w="3612"/>
              <w:gridCol w:w="3612"/>
            </w:tblGrid>
            <w:tr w:rsidR="007C321B" w:rsidRPr="00D92326" w14:paraId="50906D45" w14:textId="77777777" w:rsidTr="007243BF">
              <w:tc>
                <w:tcPr>
                  <w:tcW w:w="3612" w:type="dxa"/>
                </w:tcPr>
                <w:p w14:paraId="7D7C7395" w14:textId="544C3613" w:rsidR="007C321B" w:rsidRPr="00D92326" w:rsidRDefault="00791834" w:rsidP="007243BF">
                  <w:pPr>
                    <w:spacing w:after="0" w:line="240" w:lineRule="auto"/>
                    <w:jc w:val="both"/>
                    <w:rPr>
                      <w:rFonts w:ascii="Times New Roman" w:hAnsi="Times New Roman"/>
                      <w:b/>
                      <w:sz w:val="24"/>
                      <w:szCs w:val="24"/>
                    </w:rPr>
                  </w:pPr>
                  <w:r w:rsidRPr="00D92326">
                    <w:rPr>
                      <w:rFonts w:ascii="Times New Roman" w:hAnsi="Times New Roman"/>
                      <w:b/>
                      <w:sz w:val="24"/>
                      <w:szCs w:val="24"/>
                    </w:rPr>
                    <w:t>Dr. B. Senthil Arasu</w:t>
                  </w:r>
                </w:p>
              </w:tc>
              <w:tc>
                <w:tcPr>
                  <w:tcW w:w="3612" w:type="dxa"/>
                </w:tcPr>
                <w:p w14:paraId="2A6B132A" w14:textId="1C24D73D"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 xml:space="preserve"> Dr.</w:t>
                  </w:r>
                  <w:r w:rsidR="00791834" w:rsidRPr="00D92326">
                    <w:rPr>
                      <w:rFonts w:ascii="Times New Roman" w:hAnsi="Times New Roman"/>
                      <w:b/>
                      <w:sz w:val="24"/>
                      <w:szCs w:val="24"/>
                    </w:rPr>
                    <w:t xml:space="preserve"> P. Sridevi</w:t>
                  </w:r>
                  <w:r w:rsidRPr="00D92326">
                    <w:rPr>
                      <w:rFonts w:ascii="Times New Roman" w:hAnsi="Times New Roman"/>
                      <w:b/>
                      <w:sz w:val="24"/>
                      <w:szCs w:val="24"/>
                    </w:rPr>
                    <w:t xml:space="preserve">                           </w:t>
                  </w:r>
                </w:p>
              </w:tc>
              <w:tc>
                <w:tcPr>
                  <w:tcW w:w="3612" w:type="dxa"/>
                </w:tcPr>
                <w:p w14:paraId="68CB0BCC" w14:textId="04241728"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 xml:space="preserve">   </w:t>
                  </w:r>
                  <w:proofErr w:type="spellStart"/>
                  <w:r w:rsidRPr="00D92326">
                    <w:rPr>
                      <w:rFonts w:ascii="Times New Roman" w:hAnsi="Times New Roman"/>
                      <w:b/>
                      <w:sz w:val="24"/>
                      <w:szCs w:val="24"/>
                    </w:rPr>
                    <w:t>Dr.B.Senthil</w:t>
                  </w:r>
                  <w:proofErr w:type="spellEnd"/>
                  <w:r w:rsidRPr="00D92326">
                    <w:rPr>
                      <w:rFonts w:ascii="Times New Roman" w:hAnsi="Times New Roman"/>
                      <w:b/>
                      <w:sz w:val="24"/>
                      <w:szCs w:val="24"/>
                    </w:rPr>
                    <w:t xml:space="preserve"> Arasu</w:t>
                  </w:r>
                </w:p>
              </w:tc>
            </w:tr>
            <w:tr w:rsidR="007C321B" w:rsidRPr="00D92326" w14:paraId="6E9D7885" w14:textId="77777777" w:rsidTr="007243BF">
              <w:tc>
                <w:tcPr>
                  <w:tcW w:w="3612" w:type="dxa"/>
                </w:tcPr>
                <w:p w14:paraId="4FBCD9F0" w14:textId="77777777"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Course Faculty</w:t>
                  </w:r>
                </w:p>
              </w:tc>
              <w:tc>
                <w:tcPr>
                  <w:tcW w:w="3612" w:type="dxa"/>
                </w:tcPr>
                <w:p w14:paraId="1B01BF48" w14:textId="77777777"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Chairman (Class Committee)</w:t>
                  </w:r>
                </w:p>
              </w:tc>
              <w:tc>
                <w:tcPr>
                  <w:tcW w:w="3612" w:type="dxa"/>
                </w:tcPr>
                <w:p w14:paraId="2D13E0A2" w14:textId="77777777" w:rsidR="007C321B" w:rsidRPr="00D92326" w:rsidRDefault="007C321B" w:rsidP="007243BF">
                  <w:pPr>
                    <w:spacing w:after="0" w:line="240" w:lineRule="auto"/>
                    <w:jc w:val="both"/>
                    <w:rPr>
                      <w:rFonts w:ascii="Times New Roman" w:hAnsi="Times New Roman"/>
                      <w:b/>
                      <w:sz w:val="24"/>
                      <w:szCs w:val="24"/>
                    </w:rPr>
                  </w:pPr>
                  <w:r w:rsidRPr="00D92326">
                    <w:rPr>
                      <w:rFonts w:ascii="Times New Roman" w:hAnsi="Times New Roman"/>
                      <w:b/>
                      <w:sz w:val="24"/>
                      <w:szCs w:val="24"/>
                    </w:rPr>
                    <w:t xml:space="preserve">                           </w:t>
                  </w:r>
                  <w:proofErr w:type="spellStart"/>
                  <w:r w:rsidRPr="00D92326">
                    <w:rPr>
                      <w:rFonts w:ascii="Times New Roman" w:hAnsi="Times New Roman"/>
                      <w:b/>
                      <w:sz w:val="24"/>
                      <w:szCs w:val="24"/>
                    </w:rPr>
                    <w:t>HoD</w:t>
                  </w:r>
                  <w:proofErr w:type="spellEnd"/>
                </w:p>
              </w:tc>
            </w:tr>
          </w:tbl>
          <w:p w14:paraId="2A258612" w14:textId="77777777" w:rsidR="007C321B" w:rsidRPr="00D92326" w:rsidRDefault="007C321B" w:rsidP="007243BF">
            <w:pPr>
              <w:spacing w:after="0" w:line="240" w:lineRule="auto"/>
              <w:jc w:val="both"/>
              <w:rPr>
                <w:rFonts w:ascii="Times New Roman" w:hAnsi="Times New Roman"/>
                <w:b/>
                <w:sz w:val="24"/>
                <w:szCs w:val="24"/>
              </w:rPr>
            </w:pPr>
          </w:p>
        </w:tc>
      </w:tr>
    </w:tbl>
    <w:p w14:paraId="0232C0D5" w14:textId="77777777" w:rsidR="007C321B" w:rsidRPr="00D92326" w:rsidRDefault="007C321B" w:rsidP="007C321B">
      <w:pPr>
        <w:rPr>
          <w:rFonts w:ascii="Times New Roman" w:hAnsi="Times New Roman"/>
        </w:rPr>
      </w:pPr>
    </w:p>
    <w:p w14:paraId="701C4CDF" w14:textId="77777777" w:rsidR="007C321B" w:rsidRPr="00D92326" w:rsidRDefault="007C321B" w:rsidP="007C321B">
      <w:pPr>
        <w:rPr>
          <w:rFonts w:ascii="Times New Roman" w:hAnsi="Times New Roman"/>
        </w:rPr>
      </w:pPr>
    </w:p>
    <w:p w14:paraId="08BDE846" w14:textId="77777777" w:rsidR="007B479A" w:rsidRPr="00D92326" w:rsidRDefault="007B479A">
      <w:pPr>
        <w:rPr>
          <w:rFonts w:ascii="Times New Roman" w:hAnsi="Times New Roman"/>
        </w:rPr>
      </w:pPr>
    </w:p>
    <w:sectPr w:rsidR="007B479A" w:rsidRPr="00D9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4557"/>
    <w:multiLevelType w:val="multilevel"/>
    <w:tmpl w:val="D918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7782C"/>
    <w:multiLevelType w:val="hybridMultilevel"/>
    <w:tmpl w:val="095EAA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A249C"/>
    <w:multiLevelType w:val="hybridMultilevel"/>
    <w:tmpl w:val="3F5E8D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4F53F8"/>
    <w:multiLevelType w:val="hybridMultilevel"/>
    <w:tmpl w:val="856E43C2"/>
    <w:lvl w:ilvl="0" w:tplc="BBB45E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6A1C66"/>
    <w:multiLevelType w:val="hybridMultilevel"/>
    <w:tmpl w:val="4F76B2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2A7092"/>
    <w:multiLevelType w:val="hybridMultilevel"/>
    <w:tmpl w:val="556C71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46665C"/>
    <w:multiLevelType w:val="hybridMultilevel"/>
    <w:tmpl w:val="A9246FEA"/>
    <w:lvl w:ilvl="0" w:tplc="AF04C706">
      <w:start w:val="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BE463AB"/>
    <w:multiLevelType w:val="hybridMultilevel"/>
    <w:tmpl w:val="A3464E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897C22"/>
    <w:multiLevelType w:val="hybridMultilevel"/>
    <w:tmpl w:val="8572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0"/>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AE"/>
    <w:rsid w:val="004535AD"/>
    <w:rsid w:val="00680CAE"/>
    <w:rsid w:val="00681239"/>
    <w:rsid w:val="00791834"/>
    <w:rsid w:val="007B479A"/>
    <w:rsid w:val="007C321B"/>
    <w:rsid w:val="007C441B"/>
    <w:rsid w:val="00A61DA6"/>
    <w:rsid w:val="00BB3D9F"/>
    <w:rsid w:val="00D73F2D"/>
    <w:rsid w:val="00D92326"/>
    <w:rsid w:val="00DE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43B4CF"/>
  <w15:chartTrackingRefBased/>
  <w15:docId w15:val="{27EE52AF-CB57-4FF8-86DB-68C1974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21B"/>
    <w:pPr>
      <w:ind w:left="720"/>
      <w:contextualSpacing/>
    </w:pPr>
  </w:style>
  <w:style w:type="paragraph" w:customStyle="1" w:styleId="Default">
    <w:name w:val="Default"/>
    <w:rsid w:val="007C321B"/>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7C32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C321B"/>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7C321B"/>
    <w:rPr>
      <w:rFonts w:ascii="Times New Roman" w:eastAsia="Times New Roman" w:hAnsi="Times New Roman" w:cs="Times New Roman"/>
      <w:b/>
      <w:sz w:val="24"/>
      <w:szCs w:val="20"/>
      <w:lang w:val="en-GB"/>
    </w:rPr>
  </w:style>
  <w:style w:type="character" w:styleId="Hyperlink">
    <w:name w:val="Hyperlink"/>
    <w:uiPriority w:val="99"/>
    <w:unhideWhenUsed/>
    <w:rsid w:val="007C321B"/>
    <w:rPr>
      <w:color w:val="0563C1"/>
      <w:u w:val="single"/>
    </w:rPr>
  </w:style>
  <w:style w:type="character" w:customStyle="1" w:styleId="highlight">
    <w:name w:val="highlight"/>
    <w:basedOn w:val="DefaultParagraphFont"/>
    <w:rsid w:val="00DE28B8"/>
  </w:style>
  <w:style w:type="paragraph" w:styleId="NormalWeb">
    <w:name w:val="Normal (Web)"/>
    <w:basedOn w:val="Normal"/>
    <w:uiPriority w:val="99"/>
    <w:unhideWhenUsed/>
    <w:rsid w:val="00D73F2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b02bodytextfullout">
    <w:name w:val="eb02bodytextfullout"/>
    <w:basedOn w:val="Normal"/>
    <w:rsid w:val="0079183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791834"/>
    <w:rPr>
      <w:i/>
      <w:iCs/>
    </w:rPr>
  </w:style>
  <w:style w:type="character" w:customStyle="1" w:styleId="t">
    <w:name w:val="t"/>
    <w:basedOn w:val="DefaultParagraphFont"/>
    <w:rsid w:val="00791834"/>
  </w:style>
  <w:style w:type="character" w:customStyle="1" w:styleId="tr">
    <w:name w:val="tr"/>
    <w:basedOn w:val="DefaultParagraphFont"/>
    <w:rsid w:val="0079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SRIDEVI.P.</dc:creator>
  <cp:keywords/>
  <dc:description/>
  <cp:lastModifiedBy>senthil arasu</cp:lastModifiedBy>
  <cp:revision>6</cp:revision>
  <dcterms:created xsi:type="dcterms:W3CDTF">2018-09-07T10:17:00Z</dcterms:created>
  <dcterms:modified xsi:type="dcterms:W3CDTF">2018-09-07T11:04:00Z</dcterms:modified>
</cp:coreProperties>
</file>